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Default Extension="xlsx" ContentType="application/vnd.openxmlformats-officedocument.spreadsheetml.sheet"/>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01A" w:rsidRPr="0024287F" w:rsidRDefault="0083701A" w:rsidP="0083701A">
      <w:pPr>
        <w:ind w:left="360" w:hanging="360"/>
        <w:rPr>
          <w:lang w:val="sl-SI"/>
        </w:rPr>
      </w:pPr>
    </w:p>
    <w:p w:rsidR="00BD1EDD" w:rsidRPr="0024287F" w:rsidRDefault="00BD1EDD" w:rsidP="0083701A">
      <w:pPr>
        <w:jc w:val="center"/>
        <w:rPr>
          <w:rFonts w:ascii="Arial Narrow" w:hAnsi="Arial Narrow" w:cs="Arial"/>
          <w:b/>
          <w:color w:val="0070C0"/>
          <w:sz w:val="72"/>
          <w:szCs w:val="72"/>
          <w:lang w:val="sl-SI"/>
        </w:rPr>
      </w:pPr>
    </w:p>
    <w:p w:rsidR="00B637A9" w:rsidRPr="0024287F" w:rsidRDefault="00BB1EAE" w:rsidP="00B637A9">
      <w:pPr>
        <w:jc w:val="center"/>
        <w:rPr>
          <w:rFonts w:ascii="Arial Narrow" w:hAnsi="Arial Narrow" w:cs="Arial"/>
          <w:b/>
          <w:color w:val="0070C0"/>
          <w:sz w:val="72"/>
          <w:szCs w:val="72"/>
          <w:lang w:val="sl-SI"/>
        </w:rPr>
      </w:pPr>
      <w:bookmarkStart w:id="0" w:name="_Toc14436551"/>
      <w:bookmarkStart w:id="1" w:name="_Toc14770420"/>
      <w:r>
        <w:rPr>
          <w:rFonts w:ascii="Arial Narrow" w:hAnsi="Arial Narrow" w:cs="Arial"/>
          <w:b/>
          <w:noProof/>
          <w:color w:val="0070C0"/>
          <w:sz w:val="72"/>
          <w:szCs w:val="72"/>
          <w:lang w:val="sl-SI" w:eastAsia="sl-SI"/>
        </w:rPr>
        <w:drawing>
          <wp:inline distT="0" distB="0" distL="0" distR="0">
            <wp:extent cx="2008247" cy="2543175"/>
            <wp:effectExtent l="1905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009929" cy="2545305"/>
                    </a:xfrm>
                    <a:prstGeom prst="rect">
                      <a:avLst/>
                    </a:prstGeom>
                    <a:noFill/>
                    <a:ln w="9525">
                      <a:noFill/>
                      <a:miter lim="800000"/>
                      <a:headEnd/>
                      <a:tailEnd/>
                    </a:ln>
                  </pic:spPr>
                </pic:pic>
              </a:graphicData>
            </a:graphic>
          </wp:inline>
        </w:drawing>
      </w:r>
    </w:p>
    <w:p w:rsidR="00B637A9" w:rsidRPr="0024287F" w:rsidRDefault="00B637A9" w:rsidP="00B637A9">
      <w:pPr>
        <w:jc w:val="center"/>
        <w:rPr>
          <w:rFonts w:ascii="Arial Narrow" w:hAnsi="Arial Narrow" w:cs="Arial"/>
          <w:b/>
          <w:color w:val="0070C0"/>
          <w:sz w:val="72"/>
          <w:szCs w:val="72"/>
          <w:lang w:val="sl-SI"/>
        </w:rPr>
      </w:pPr>
    </w:p>
    <w:p w:rsidR="00B637A9" w:rsidRPr="0024287F" w:rsidRDefault="00B637A9" w:rsidP="00B637A9">
      <w:pPr>
        <w:jc w:val="center"/>
        <w:rPr>
          <w:rFonts w:cs="Arial"/>
          <w:b/>
          <w:color w:val="00B0F0"/>
          <w:sz w:val="72"/>
          <w:szCs w:val="72"/>
          <w:lang w:val="sl-SI"/>
        </w:rPr>
      </w:pPr>
      <w:r w:rsidRPr="0024287F">
        <w:rPr>
          <w:rFonts w:cs="Arial"/>
          <w:b/>
          <w:color w:val="00B0F0"/>
          <w:sz w:val="72"/>
          <w:szCs w:val="72"/>
          <w:lang w:val="sl-SI"/>
        </w:rPr>
        <w:t xml:space="preserve">VODNA ŠOLA </w:t>
      </w:r>
    </w:p>
    <w:p w:rsidR="00B637A9" w:rsidRPr="0024287F" w:rsidRDefault="00B637A9" w:rsidP="00B637A9">
      <w:pPr>
        <w:jc w:val="center"/>
        <w:rPr>
          <w:rFonts w:cs="Arial"/>
          <w:b/>
          <w:color w:val="00B0F0"/>
          <w:sz w:val="36"/>
          <w:szCs w:val="36"/>
          <w:lang w:val="sl-SI"/>
        </w:rPr>
      </w:pPr>
    </w:p>
    <w:p w:rsidR="00B637A9" w:rsidRPr="0024287F" w:rsidRDefault="00B637A9" w:rsidP="00B637A9">
      <w:pPr>
        <w:spacing w:line="259" w:lineRule="auto"/>
        <w:jc w:val="center"/>
        <w:rPr>
          <w:rFonts w:cs="Arial"/>
          <w:b/>
          <w:bCs/>
          <w:color w:val="00B0F0"/>
          <w:sz w:val="48"/>
          <w:szCs w:val="48"/>
          <w:lang w:val="sl-SI"/>
        </w:rPr>
      </w:pPr>
      <w:r w:rsidRPr="0024287F">
        <w:rPr>
          <w:rFonts w:cs="Arial"/>
          <w:b/>
          <w:bCs/>
          <w:color w:val="00B0F0"/>
          <w:sz w:val="48"/>
          <w:szCs w:val="48"/>
          <w:lang w:val="sl-SI"/>
        </w:rPr>
        <w:t>Pregled stanja: Navade pri uživanju pijač, kvaliteta vode in dostop do vode v šolah držav, projektnih partneric</w:t>
      </w:r>
    </w:p>
    <w:p w:rsidR="00B637A9" w:rsidRPr="0024287F" w:rsidRDefault="00B637A9" w:rsidP="00B637A9">
      <w:pPr>
        <w:rPr>
          <w:rFonts w:cs="Arial"/>
          <w:szCs w:val="22"/>
          <w:lang w:val="sl-SI"/>
        </w:rPr>
      </w:pPr>
    </w:p>
    <w:p w:rsidR="00B637A9" w:rsidRPr="0024287F" w:rsidRDefault="00B637A9" w:rsidP="00B637A9">
      <w:pPr>
        <w:rPr>
          <w:rFonts w:cs="Arial"/>
          <w:szCs w:val="22"/>
          <w:lang w:val="sl-SI"/>
        </w:rPr>
      </w:pPr>
    </w:p>
    <w:p w:rsidR="00B637A9" w:rsidRPr="0024287F" w:rsidRDefault="00B637A9" w:rsidP="00B637A9">
      <w:pPr>
        <w:rPr>
          <w:rFonts w:cs="Arial"/>
          <w:szCs w:val="22"/>
          <w:lang w:val="sl-SI"/>
        </w:rPr>
      </w:pPr>
    </w:p>
    <w:p w:rsidR="00B637A9" w:rsidRPr="0024287F" w:rsidRDefault="00B637A9" w:rsidP="00B637A9">
      <w:pPr>
        <w:rPr>
          <w:rFonts w:cs="Arial"/>
          <w:szCs w:val="22"/>
          <w:lang w:val="sl-SI"/>
        </w:rPr>
      </w:pPr>
    </w:p>
    <w:p w:rsidR="00B637A9" w:rsidRPr="0024287F" w:rsidRDefault="00B637A9" w:rsidP="00B637A9">
      <w:pPr>
        <w:rPr>
          <w:rFonts w:cs="Arial"/>
          <w:szCs w:val="22"/>
          <w:lang w:val="sl-SI"/>
        </w:rPr>
      </w:pPr>
    </w:p>
    <w:p w:rsidR="00B637A9" w:rsidRPr="0024287F" w:rsidRDefault="00B637A9" w:rsidP="00B637A9">
      <w:pPr>
        <w:rPr>
          <w:rFonts w:cs="Arial"/>
          <w:szCs w:val="22"/>
          <w:lang w:val="sl-SI"/>
        </w:rPr>
      </w:pPr>
    </w:p>
    <w:p w:rsidR="00B637A9" w:rsidRPr="0024287F" w:rsidRDefault="00B637A9" w:rsidP="00B637A9">
      <w:pPr>
        <w:rPr>
          <w:rFonts w:ascii="Arial Narrow" w:hAnsi="Arial Narrow" w:cs="Arial"/>
          <w:szCs w:val="22"/>
          <w:lang w:val="sl-SI"/>
        </w:rPr>
      </w:pPr>
    </w:p>
    <w:p w:rsidR="00B637A9" w:rsidRPr="0024287F" w:rsidRDefault="00B637A9" w:rsidP="00B637A9">
      <w:pPr>
        <w:rPr>
          <w:rFonts w:cs="Arial"/>
          <w:szCs w:val="22"/>
          <w:lang w:val="sl-SI"/>
        </w:rPr>
      </w:pPr>
      <w:r w:rsidRPr="0024287F">
        <w:rPr>
          <w:rFonts w:cs="Arial"/>
          <w:szCs w:val="22"/>
          <w:lang w:val="sl-SI"/>
        </w:rPr>
        <w:t xml:space="preserve">(PDFlahko naložite ali ga naprintate)  </w:t>
      </w:r>
    </w:p>
    <w:p w:rsidR="00B637A9" w:rsidRPr="0024287F" w:rsidRDefault="00B637A9" w:rsidP="00B637A9">
      <w:pPr>
        <w:rPr>
          <w:rFonts w:ascii="Arial Narrow" w:hAnsi="Arial Narrow" w:cs="Arial"/>
          <w:szCs w:val="22"/>
          <w:lang w:val="sl-SI"/>
        </w:rPr>
      </w:pPr>
    </w:p>
    <w:p w:rsidR="00B637A9" w:rsidRPr="0024287F" w:rsidRDefault="00B637A9" w:rsidP="00B637A9">
      <w:pPr>
        <w:tabs>
          <w:tab w:val="left" w:pos="4035"/>
          <w:tab w:val="center" w:pos="5173"/>
          <w:tab w:val="left" w:pos="5625"/>
        </w:tabs>
        <w:contextualSpacing/>
        <w:rPr>
          <w:rFonts w:cs="Arial"/>
          <w:b/>
          <w:bCs/>
          <w:color w:val="0070C0"/>
          <w:sz w:val="40"/>
          <w:szCs w:val="40"/>
          <w:lang w:val="sl-SI"/>
        </w:rPr>
      </w:pPr>
    </w:p>
    <w:p w:rsidR="00B637A9" w:rsidRPr="0024287F" w:rsidRDefault="00B637A9" w:rsidP="00B637A9">
      <w:pPr>
        <w:tabs>
          <w:tab w:val="left" w:pos="4035"/>
          <w:tab w:val="center" w:pos="5173"/>
          <w:tab w:val="left" w:pos="5625"/>
        </w:tabs>
        <w:contextualSpacing/>
        <w:rPr>
          <w:rFonts w:cs="Arial"/>
          <w:b/>
          <w:bCs/>
          <w:color w:val="0070C0"/>
          <w:sz w:val="40"/>
          <w:szCs w:val="40"/>
          <w:lang w:val="sl-SI"/>
        </w:rPr>
      </w:pPr>
    </w:p>
    <w:p w:rsidR="00B637A9" w:rsidRPr="0024287F" w:rsidRDefault="00B637A9" w:rsidP="00B637A9">
      <w:pPr>
        <w:spacing w:after="160" w:line="259" w:lineRule="auto"/>
        <w:rPr>
          <w:rFonts w:ascii="Arial Narrow" w:hAnsi="Arial Narrow" w:cs="Arial"/>
          <w:b/>
          <w:bCs/>
          <w:color w:val="0070C0"/>
          <w:sz w:val="56"/>
          <w:szCs w:val="56"/>
          <w:lang w:val="sl-SI"/>
        </w:rPr>
      </w:pPr>
      <w:r w:rsidRPr="0024287F">
        <w:rPr>
          <w:rFonts w:ascii="Arial Narrow" w:hAnsi="Arial Narrow" w:cs="Arial"/>
          <w:b/>
          <w:bCs/>
          <w:color w:val="0070C0"/>
          <w:sz w:val="56"/>
          <w:szCs w:val="56"/>
          <w:lang w:val="sl-SI"/>
        </w:rPr>
        <w:br w:type="page"/>
      </w:r>
    </w:p>
    <w:bookmarkEnd w:id="0"/>
    <w:bookmarkEnd w:id="1"/>
    <w:p w:rsidR="00B637A9" w:rsidRPr="0024287F" w:rsidRDefault="00B637A9" w:rsidP="00B637A9">
      <w:pPr>
        <w:spacing w:after="160" w:line="259" w:lineRule="auto"/>
        <w:rPr>
          <w:rFonts w:cs="Arial"/>
          <w:b/>
          <w:bCs/>
          <w:color w:val="09AEE9"/>
          <w:sz w:val="56"/>
          <w:szCs w:val="56"/>
          <w:lang w:val="sl-SI"/>
        </w:rPr>
      </w:pPr>
      <w:r w:rsidRPr="0024287F">
        <w:rPr>
          <w:rFonts w:cs="Arial"/>
          <w:b/>
          <w:bCs/>
          <w:color w:val="09AEE9"/>
          <w:sz w:val="56"/>
          <w:szCs w:val="56"/>
          <w:lang w:val="sl-SI"/>
        </w:rPr>
        <w:lastRenderedPageBreak/>
        <w:t>Vsebina</w:t>
      </w:r>
    </w:p>
    <w:p w:rsidR="00B637A9" w:rsidRPr="0024287F" w:rsidRDefault="00B637A9" w:rsidP="00B637A9">
      <w:pPr>
        <w:spacing w:line="360" w:lineRule="auto"/>
        <w:rPr>
          <w:rFonts w:eastAsiaTheme="minorHAnsi" w:cs="Arial"/>
          <w:b/>
          <w:lang w:val="sl-SI" w:eastAsia="en-US"/>
        </w:rPr>
      </w:pPr>
    </w:p>
    <w:p w:rsidR="00B637A9" w:rsidRPr="0024287F" w:rsidRDefault="00B637A9" w:rsidP="00B637A9">
      <w:pPr>
        <w:spacing w:line="360" w:lineRule="auto"/>
        <w:rPr>
          <w:rFonts w:eastAsiaTheme="minorHAnsi" w:cs="Arial"/>
          <w:bCs/>
          <w:lang w:val="sl-SI" w:eastAsia="en-US"/>
        </w:rPr>
      </w:pPr>
      <w:bookmarkStart w:id="2" w:name="_Hlk14770593"/>
      <w:r w:rsidRPr="0024287F">
        <w:rPr>
          <w:rFonts w:cs="Arial"/>
          <w:b/>
          <w:bCs/>
          <w:sz w:val="24"/>
          <w:lang w:val="sl-SI"/>
        </w:rPr>
        <w:t>Pregled stanja: Navade pri uživanju pijač, kvaliteta vode in dostop do vode v šolah držav, projektnih partneric</w:t>
      </w:r>
      <w:r w:rsidRPr="0024287F">
        <w:rPr>
          <w:rFonts w:eastAsiaTheme="minorHAnsi" w:cs="Arial"/>
          <w:bCs/>
          <w:lang w:val="sl-SI" w:eastAsia="en-US"/>
        </w:rPr>
        <w:t xml:space="preserve"> ………………………....……..............……</w:t>
      </w:r>
      <w:r w:rsidR="0024287F">
        <w:rPr>
          <w:rFonts w:eastAsiaTheme="minorHAnsi" w:cs="Arial"/>
          <w:bCs/>
          <w:lang w:val="sl-SI" w:eastAsia="en-US"/>
        </w:rPr>
        <w:t>.........</w:t>
      </w:r>
      <w:r w:rsidRPr="0024287F">
        <w:rPr>
          <w:rFonts w:eastAsiaTheme="minorHAnsi" w:cs="Arial"/>
          <w:bCs/>
          <w:lang w:val="sl-SI" w:eastAsia="en-US"/>
        </w:rPr>
        <w:t>….…  3</w:t>
      </w:r>
      <w:bookmarkEnd w:id="2"/>
    </w:p>
    <w:p w:rsidR="00B637A9" w:rsidRPr="0024287F" w:rsidRDefault="00B637A9" w:rsidP="00B637A9">
      <w:pPr>
        <w:spacing w:line="360" w:lineRule="auto"/>
        <w:rPr>
          <w:rFonts w:eastAsiaTheme="minorHAnsi" w:cs="Arial"/>
          <w:b/>
          <w:lang w:val="sl-SI" w:eastAsia="en-US"/>
        </w:rPr>
      </w:pPr>
    </w:p>
    <w:p w:rsidR="00B637A9" w:rsidRPr="0024287F" w:rsidRDefault="00B637A9" w:rsidP="00B637A9">
      <w:pPr>
        <w:spacing w:line="360" w:lineRule="auto"/>
        <w:rPr>
          <w:rFonts w:eastAsiaTheme="minorHAnsi" w:cs="Arial"/>
          <w:bCs/>
          <w:lang w:val="sl-SI" w:eastAsia="en-US"/>
        </w:rPr>
      </w:pPr>
      <w:r w:rsidRPr="0024287F">
        <w:rPr>
          <w:rFonts w:eastAsiaTheme="minorHAnsi" w:cs="Arial"/>
          <w:b/>
          <w:lang w:val="sl-SI" w:eastAsia="en-US"/>
        </w:rPr>
        <w:t xml:space="preserve">Situacija v Evropi </w:t>
      </w:r>
      <w:r w:rsidRPr="0024287F">
        <w:rPr>
          <w:rFonts w:eastAsiaTheme="minorHAnsi" w:cs="Arial"/>
          <w:bCs/>
          <w:lang w:val="sl-SI" w:eastAsia="en-US"/>
        </w:rPr>
        <w:t>…………...……..…………………………</w:t>
      </w:r>
      <w:r w:rsidR="0024287F">
        <w:rPr>
          <w:rFonts w:eastAsiaTheme="minorHAnsi" w:cs="Arial"/>
          <w:bCs/>
          <w:lang w:val="sl-SI" w:eastAsia="en-US"/>
        </w:rPr>
        <w:t>.....</w:t>
      </w:r>
      <w:r w:rsidRPr="0024287F">
        <w:rPr>
          <w:rFonts w:eastAsiaTheme="minorHAnsi" w:cs="Arial"/>
          <w:bCs/>
          <w:lang w:val="sl-SI" w:eastAsia="en-US"/>
        </w:rPr>
        <w:t>……………</w:t>
      </w:r>
      <w:r w:rsidR="0024287F">
        <w:rPr>
          <w:rFonts w:eastAsiaTheme="minorHAnsi" w:cs="Arial"/>
          <w:bCs/>
          <w:lang w:val="sl-SI" w:eastAsia="en-US"/>
        </w:rPr>
        <w:t>....</w:t>
      </w:r>
      <w:r w:rsidRPr="0024287F">
        <w:rPr>
          <w:rFonts w:eastAsiaTheme="minorHAnsi" w:cs="Arial"/>
          <w:bCs/>
          <w:lang w:val="sl-SI" w:eastAsia="en-US"/>
        </w:rPr>
        <w:t>……….</w:t>
      </w:r>
      <w:r w:rsidR="0024287F">
        <w:rPr>
          <w:rFonts w:eastAsiaTheme="minorHAnsi" w:cs="Arial"/>
          <w:bCs/>
          <w:lang w:val="sl-SI" w:eastAsia="en-US"/>
        </w:rPr>
        <w:t>....</w:t>
      </w:r>
      <w:r w:rsidRPr="0024287F">
        <w:rPr>
          <w:rFonts w:eastAsiaTheme="minorHAnsi" w:cs="Arial"/>
          <w:bCs/>
          <w:lang w:val="sl-SI" w:eastAsia="en-US"/>
        </w:rPr>
        <w:t>……. 3</w:t>
      </w:r>
    </w:p>
    <w:p w:rsidR="00B637A9" w:rsidRPr="0024287F" w:rsidRDefault="00B637A9" w:rsidP="00B637A9">
      <w:pPr>
        <w:spacing w:line="360" w:lineRule="auto"/>
        <w:rPr>
          <w:rFonts w:eastAsiaTheme="minorHAnsi" w:cs="Arial"/>
          <w:b/>
          <w:lang w:val="sl-SI" w:eastAsia="en-US"/>
        </w:rPr>
      </w:pPr>
    </w:p>
    <w:p w:rsidR="00B637A9" w:rsidRPr="0024287F" w:rsidRDefault="0024287F" w:rsidP="00B637A9">
      <w:pPr>
        <w:spacing w:line="360" w:lineRule="auto"/>
        <w:rPr>
          <w:rFonts w:eastAsiaTheme="minorHAnsi" w:cs="Arial"/>
          <w:bCs/>
          <w:lang w:val="sl-SI" w:eastAsia="en-US"/>
        </w:rPr>
      </w:pPr>
      <w:r>
        <w:rPr>
          <w:rFonts w:eastAsiaTheme="minorHAnsi" w:cs="Arial"/>
          <w:b/>
          <w:lang w:val="sl-SI" w:eastAsia="en-US"/>
        </w:rPr>
        <w:t>Av</w:t>
      </w:r>
      <w:r w:rsidR="00B637A9" w:rsidRPr="0024287F">
        <w:rPr>
          <w:rFonts w:eastAsiaTheme="minorHAnsi" w:cs="Arial"/>
          <w:b/>
          <w:lang w:val="sl-SI" w:eastAsia="en-US"/>
        </w:rPr>
        <w:t xml:space="preserve">stria </w:t>
      </w:r>
      <w:r w:rsidR="00B637A9" w:rsidRPr="0024287F">
        <w:rPr>
          <w:rFonts w:eastAsiaTheme="minorHAnsi" w:cs="Arial"/>
          <w:bCs/>
          <w:lang w:val="sl-SI" w:eastAsia="en-US"/>
        </w:rPr>
        <w:t>…………………………………….……………………</w:t>
      </w:r>
      <w:r>
        <w:rPr>
          <w:rFonts w:eastAsiaTheme="minorHAnsi" w:cs="Arial"/>
          <w:bCs/>
          <w:lang w:val="sl-SI" w:eastAsia="en-US"/>
        </w:rPr>
        <w:t>.....</w:t>
      </w:r>
      <w:r w:rsidR="00B637A9" w:rsidRPr="0024287F">
        <w:rPr>
          <w:rFonts w:eastAsiaTheme="minorHAnsi" w:cs="Arial"/>
          <w:bCs/>
          <w:lang w:val="sl-SI" w:eastAsia="en-US"/>
        </w:rPr>
        <w:t>……………………</w:t>
      </w:r>
      <w:r>
        <w:rPr>
          <w:rFonts w:eastAsiaTheme="minorHAnsi" w:cs="Arial"/>
          <w:bCs/>
          <w:lang w:val="sl-SI" w:eastAsia="en-US"/>
        </w:rPr>
        <w:t>.........</w:t>
      </w:r>
      <w:r w:rsidR="00B637A9" w:rsidRPr="0024287F">
        <w:rPr>
          <w:rFonts w:eastAsiaTheme="minorHAnsi" w:cs="Arial"/>
          <w:bCs/>
          <w:lang w:val="sl-SI" w:eastAsia="en-US"/>
        </w:rPr>
        <w:t>…….  4</w:t>
      </w:r>
    </w:p>
    <w:p w:rsidR="00B637A9" w:rsidRPr="0024287F" w:rsidRDefault="00B637A9" w:rsidP="00B637A9">
      <w:pPr>
        <w:spacing w:line="360" w:lineRule="auto"/>
        <w:rPr>
          <w:rFonts w:eastAsiaTheme="minorHAnsi" w:cs="Arial"/>
          <w:bCs/>
          <w:lang w:val="sl-SI" w:eastAsia="en-US"/>
        </w:rPr>
      </w:pPr>
    </w:p>
    <w:p w:rsidR="00B637A9" w:rsidRPr="0024287F" w:rsidRDefault="0024287F" w:rsidP="00B637A9">
      <w:pPr>
        <w:spacing w:line="360" w:lineRule="auto"/>
        <w:rPr>
          <w:rFonts w:eastAsiaTheme="minorHAnsi" w:cs="Arial"/>
          <w:bCs/>
          <w:lang w:val="sl-SI" w:eastAsia="en-US"/>
        </w:rPr>
      </w:pPr>
      <w:r>
        <w:rPr>
          <w:rFonts w:eastAsiaTheme="minorHAnsi" w:cs="Arial"/>
          <w:b/>
          <w:lang w:val="sl-SI" w:eastAsia="en-US"/>
        </w:rPr>
        <w:t>Bo</w:t>
      </w:r>
      <w:r w:rsidR="00B637A9" w:rsidRPr="0024287F">
        <w:rPr>
          <w:rFonts w:eastAsiaTheme="minorHAnsi" w:cs="Arial"/>
          <w:b/>
          <w:lang w:val="sl-SI" w:eastAsia="en-US"/>
        </w:rPr>
        <w:t>lgari</w:t>
      </w:r>
      <w:r>
        <w:rPr>
          <w:rFonts w:eastAsiaTheme="minorHAnsi" w:cs="Arial"/>
          <w:b/>
          <w:lang w:val="sl-SI" w:eastAsia="en-US"/>
        </w:rPr>
        <w:t>j</w:t>
      </w:r>
      <w:r w:rsidR="00B637A9" w:rsidRPr="0024287F">
        <w:rPr>
          <w:rFonts w:eastAsiaTheme="minorHAnsi" w:cs="Arial"/>
          <w:b/>
          <w:lang w:val="sl-SI" w:eastAsia="en-US"/>
        </w:rPr>
        <w:t xml:space="preserve">a </w:t>
      </w:r>
      <w:r w:rsidR="00B637A9" w:rsidRPr="0024287F">
        <w:rPr>
          <w:rFonts w:eastAsiaTheme="minorHAnsi" w:cs="Arial"/>
          <w:bCs/>
          <w:lang w:val="sl-SI" w:eastAsia="en-US"/>
        </w:rPr>
        <w:t>……………………………….…………………………………………</w:t>
      </w:r>
      <w:r>
        <w:rPr>
          <w:rFonts w:eastAsiaTheme="minorHAnsi" w:cs="Arial"/>
          <w:bCs/>
          <w:lang w:val="sl-SI" w:eastAsia="en-US"/>
        </w:rPr>
        <w:t>........</w:t>
      </w:r>
      <w:r w:rsidR="00B637A9" w:rsidRPr="0024287F">
        <w:rPr>
          <w:rFonts w:eastAsiaTheme="minorHAnsi" w:cs="Arial"/>
          <w:bCs/>
          <w:lang w:val="sl-SI" w:eastAsia="en-US"/>
        </w:rPr>
        <w:t>…</w:t>
      </w:r>
      <w:r>
        <w:rPr>
          <w:rFonts w:eastAsiaTheme="minorHAnsi" w:cs="Arial"/>
          <w:bCs/>
          <w:lang w:val="sl-SI" w:eastAsia="en-US"/>
        </w:rPr>
        <w:t>.....</w:t>
      </w:r>
      <w:r w:rsidR="00B637A9" w:rsidRPr="0024287F">
        <w:rPr>
          <w:rFonts w:eastAsiaTheme="minorHAnsi" w:cs="Arial"/>
          <w:bCs/>
          <w:lang w:val="sl-SI" w:eastAsia="en-US"/>
        </w:rPr>
        <w:t>……... 6</w:t>
      </w:r>
    </w:p>
    <w:p w:rsidR="00B637A9" w:rsidRPr="0024287F" w:rsidRDefault="00B637A9" w:rsidP="00B637A9">
      <w:pPr>
        <w:spacing w:line="360" w:lineRule="auto"/>
        <w:rPr>
          <w:rFonts w:eastAsiaTheme="minorHAnsi" w:cs="Arial"/>
          <w:bCs/>
          <w:lang w:val="sl-SI" w:eastAsia="en-US"/>
        </w:rPr>
      </w:pPr>
    </w:p>
    <w:p w:rsidR="00B637A9" w:rsidRPr="0024287F" w:rsidRDefault="00B637A9" w:rsidP="00B637A9">
      <w:pPr>
        <w:spacing w:line="360" w:lineRule="auto"/>
        <w:rPr>
          <w:rFonts w:eastAsiaTheme="minorHAnsi" w:cs="Arial"/>
          <w:bCs/>
          <w:lang w:val="sl-SI" w:eastAsia="en-US"/>
        </w:rPr>
      </w:pPr>
      <w:bookmarkStart w:id="3" w:name="_Hlk14770805"/>
      <w:r w:rsidRPr="0024287F">
        <w:rPr>
          <w:rFonts w:eastAsiaTheme="minorHAnsi" w:cs="Arial"/>
          <w:b/>
          <w:lang w:val="sl-SI" w:eastAsia="en-US"/>
        </w:rPr>
        <w:t>C</w:t>
      </w:r>
      <w:r w:rsidR="0024287F">
        <w:rPr>
          <w:rFonts w:eastAsiaTheme="minorHAnsi" w:cs="Arial"/>
          <w:b/>
          <w:lang w:val="sl-SI" w:eastAsia="en-US"/>
        </w:rPr>
        <w:t xml:space="preserve">eška Republika </w:t>
      </w:r>
      <w:r w:rsidRPr="0024287F">
        <w:rPr>
          <w:rFonts w:eastAsiaTheme="minorHAnsi" w:cs="Arial"/>
          <w:bCs/>
          <w:lang w:val="sl-SI" w:eastAsia="en-US"/>
        </w:rPr>
        <w:t>………………</w:t>
      </w:r>
      <w:r w:rsidR="0024287F">
        <w:rPr>
          <w:rFonts w:eastAsiaTheme="minorHAnsi" w:cs="Arial"/>
          <w:bCs/>
          <w:lang w:val="sl-SI" w:eastAsia="en-US"/>
        </w:rPr>
        <w:t>..</w:t>
      </w:r>
      <w:r w:rsidRPr="0024287F">
        <w:rPr>
          <w:rFonts w:eastAsiaTheme="minorHAnsi" w:cs="Arial"/>
          <w:bCs/>
          <w:lang w:val="sl-SI" w:eastAsia="en-US"/>
        </w:rPr>
        <w:t>…………….………………</w:t>
      </w:r>
      <w:r w:rsidR="0024287F">
        <w:rPr>
          <w:rFonts w:eastAsiaTheme="minorHAnsi" w:cs="Arial"/>
          <w:bCs/>
          <w:lang w:val="sl-SI" w:eastAsia="en-US"/>
        </w:rPr>
        <w:t>.............</w:t>
      </w:r>
      <w:r w:rsidRPr="0024287F">
        <w:rPr>
          <w:rFonts w:eastAsiaTheme="minorHAnsi" w:cs="Arial"/>
          <w:bCs/>
          <w:lang w:val="sl-SI" w:eastAsia="en-US"/>
        </w:rPr>
        <w:t xml:space="preserve">………………….………. </w:t>
      </w:r>
      <w:r w:rsidR="0024287F">
        <w:rPr>
          <w:rFonts w:eastAsiaTheme="minorHAnsi" w:cs="Arial"/>
          <w:bCs/>
          <w:lang w:val="sl-SI" w:eastAsia="en-US"/>
        </w:rPr>
        <w:t>8</w:t>
      </w:r>
    </w:p>
    <w:p w:rsidR="00B637A9" w:rsidRPr="0024287F" w:rsidRDefault="00B637A9" w:rsidP="00B637A9">
      <w:pPr>
        <w:spacing w:line="360" w:lineRule="auto"/>
        <w:rPr>
          <w:rFonts w:eastAsiaTheme="minorHAnsi" w:cs="Arial"/>
          <w:bCs/>
          <w:lang w:val="sl-SI" w:eastAsia="en-US"/>
        </w:rPr>
      </w:pPr>
    </w:p>
    <w:bookmarkEnd w:id="3"/>
    <w:p w:rsidR="00B637A9" w:rsidRPr="0024287F" w:rsidRDefault="00B637A9" w:rsidP="00B637A9">
      <w:pPr>
        <w:spacing w:line="360" w:lineRule="auto"/>
        <w:rPr>
          <w:rFonts w:eastAsiaTheme="minorHAnsi" w:cs="Arial"/>
          <w:lang w:val="sl-SI" w:eastAsia="en-US"/>
        </w:rPr>
      </w:pPr>
      <w:r w:rsidRPr="0024287F">
        <w:rPr>
          <w:rFonts w:eastAsiaTheme="minorHAnsi" w:cs="Arial"/>
          <w:b/>
          <w:lang w:val="sl-SI" w:eastAsia="en-US"/>
        </w:rPr>
        <w:t xml:space="preserve">Germany </w:t>
      </w:r>
      <w:r w:rsidRPr="0024287F">
        <w:rPr>
          <w:rFonts w:eastAsiaTheme="minorHAnsi" w:cs="Arial"/>
          <w:lang w:val="sl-SI" w:eastAsia="en-US"/>
        </w:rPr>
        <w:t>……………………….…………….……………………</w:t>
      </w:r>
      <w:r w:rsidR="0024287F">
        <w:rPr>
          <w:rFonts w:eastAsiaTheme="minorHAnsi" w:cs="Arial"/>
          <w:lang w:val="sl-SI" w:eastAsia="en-US"/>
        </w:rPr>
        <w:t>............</w:t>
      </w:r>
      <w:r w:rsidRPr="0024287F">
        <w:rPr>
          <w:rFonts w:eastAsiaTheme="minorHAnsi" w:cs="Arial"/>
          <w:lang w:val="sl-SI" w:eastAsia="en-US"/>
        </w:rPr>
        <w:t>.....………….……….  1</w:t>
      </w:r>
      <w:r w:rsidR="0024287F">
        <w:rPr>
          <w:rFonts w:eastAsiaTheme="minorHAnsi" w:cs="Arial"/>
          <w:lang w:val="sl-SI" w:eastAsia="en-US"/>
        </w:rPr>
        <w:t>0</w:t>
      </w:r>
    </w:p>
    <w:p w:rsidR="00B637A9" w:rsidRPr="0024287F" w:rsidRDefault="00B637A9" w:rsidP="00B637A9">
      <w:pPr>
        <w:spacing w:line="360" w:lineRule="auto"/>
        <w:rPr>
          <w:rFonts w:eastAsiaTheme="minorHAnsi" w:cs="Arial"/>
          <w:lang w:val="sl-SI" w:eastAsia="en-US"/>
        </w:rPr>
      </w:pPr>
    </w:p>
    <w:p w:rsidR="00B637A9" w:rsidRPr="0024287F" w:rsidRDefault="00B637A9" w:rsidP="00B637A9">
      <w:pPr>
        <w:spacing w:line="360" w:lineRule="auto"/>
        <w:rPr>
          <w:rFonts w:eastAsiaTheme="minorHAnsi" w:cs="Arial"/>
          <w:bCs/>
          <w:lang w:val="sl-SI" w:eastAsia="en-US"/>
        </w:rPr>
      </w:pPr>
      <w:r w:rsidRPr="0024287F">
        <w:rPr>
          <w:rFonts w:eastAsiaTheme="minorHAnsi" w:cs="Arial"/>
          <w:b/>
          <w:lang w:val="sl-SI" w:eastAsia="en-US"/>
        </w:rPr>
        <w:t>Ital</w:t>
      </w:r>
      <w:r w:rsidR="00AC2AE1">
        <w:rPr>
          <w:rFonts w:eastAsiaTheme="minorHAnsi" w:cs="Arial"/>
          <w:b/>
          <w:lang w:val="sl-SI" w:eastAsia="en-US"/>
        </w:rPr>
        <w:t>ija</w:t>
      </w:r>
      <w:r w:rsidRPr="0024287F">
        <w:rPr>
          <w:rFonts w:eastAsiaTheme="minorHAnsi" w:cs="Arial"/>
          <w:bCs/>
          <w:lang w:val="sl-SI" w:eastAsia="en-US"/>
        </w:rPr>
        <w:t xml:space="preserve"> …………………</w:t>
      </w:r>
      <w:r w:rsidR="00AC2AE1">
        <w:rPr>
          <w:rFonts w:eastAsiaTheme="minorHAnsi" w:cs="Arial"/>
          <w:bCs/>
          <w:lang w:val="sl-SI" w:eastAsia="en-US"/>
        </w:rPr>
        <w:t>..........</w:t>
      </w:r>
      <w:r w:rsidRPr="0024287F">
        <w:rPr>
          <w:rFonts w:eastAsiaTheme="minorHAnsi" w:cs="Arial"/>
          <w:bCs/>
          <w:lang w:val="sl-SI" w:eastAsia="en-US"/>
        </w:rPr>
        <w:t>………………………….……………………………..…….……… 1</w:t>
      </w:r>
      <w:r w:rsidR="00AC2AE1">
        <w:rPr>
          <w:rFonts w:eastAsiaTheme="minorHAnsi" w:cs="Arial"/>
          <w:bCs/>
          <w:lang w:val="sl-SI" w:eastAsia="en-US"/>
        </w:rPr>
        <w:t>2</w:t>
      </w:r>
    </w:p>
    <w:p w:rsidR="00B637A9" w:rsidRPr="0024287F" w:rsidRDefault="00B637A9" w:rsidP="00B637A9">
      <w:pPr>
        <w:spacing w:line="360" w:lineRule="auto"/>
        <w:rPr>
          <w:rFonts w:eastAsiaTheme="minorHAnsi" w:cs="Arial"/>
          <w:bCs/>
          <w:lang w:val="sl-SI" w:eastAsia="en-US"/>
        </w:rPr>
      </w:pPr>
    </w:p>
    <w:p w:rsidR="00B637A9" w:rsidRPr="0024287F" w:rsidRDefault="00B637A9" w:rsidP="00B637A9">
      <w:pPr>
        <w:spacing w:line="360" w:lineRule="auto"/>
        <w:rPr>
          <w:rFonts w:eastAsiaTheme="minorHAnsi" w:cs="Arial"/>
          <w:bCs/>
          <w:lang w:val="sl-SI" w:eastAsia="en-US"/>
        </w:rPr>
      </w:pPr>
      <w:r w:rsidRPr="0024287F">
        <w:rPr>
          <w:rFonts w:eastAsiaTheme="minorHAnsi" w:cs="Arial"/>
          <w:b/>
          <w:lang w:val="sl-SI" w:eastAsia="en-US"/>
        </w:rPr>
        <w:t>Sloveni</w:t>
      </w:r>
      <w:r w:rsidR="006D1679">
        <w:rPr>
          <w:rFonts w:eastAsiaTheme="minorHAnsi" w:cs="Arial"/>
          <w:b/>
          <w:lang w:val="sl-SI" w:eastAsia="en-US"/>
        </w:rPr>
        <w:t>ja</w:t>
      </w:r>
      <w:r w:rsidRPr="0024287F">
        <w:rPr>
          <w:rFonts w:eastAsiaTheme="minorHAnsi" w:cs="Arial"/>
          <w:bCs/>
          <w:lang w:val="sl-SI" w:eastAsia="en-US"/>
        </w:rPr>
        <w:t xml:space="preserve"> ……………………………………….………………………..</w:t>
      </w:r>
      <w:r w:rsidR="006D1679">
        <w:rPr>
          <w:rFonts w:eastAsiaTheme="minorHAnsi" w:cs="Arial"/>
          <w:bCs/>
          <w:lang w:val="sl-SI" w:eastAsia="en-US"/>
        </w:rPr>
        <w:t>...........</w:t>
      </w:r>
      <w:r w:rsidRPr="0024287F">
        <w:rPr>
          <w:rFonts w:eastAsiaTheme="minorHAnsi" w:cs="Arial"/>
          <w:bCs/>
          <w:lang w:val="sl-SI" w:eastAsia="en-US"/>
        </w:rPr>
        <w:t>...……….……… 1</w:t>
      </w:r>
      <w:r w:rsidR="006D1679">
        <w:rPr>
          <w:rFonts w:eastAsiaTheme="minorHAnsi" w:cs="Arial"/>
          <w:bCs/>
          <w:lang w:val="sl-SI" w:eastAsia="en-US"/>
        </w:rPr>
        <w:t>4</w:t>
      </w:r>
    </w:p>
    <w:p w:rsidR="00B637A9" w:rsidRPr="0024287F" w:rsidRDefault="00B637A9" w:rsidP="00B637A9">
      <w:pPr>
        <w:spacing w:line="360" w:lineRule="auto"/>
        <w:rPr>
          <w:rFonts w:eastAsiaTheme="minorHAnsi" w:cs="Arial"/>
          <w:bCs/>
          <w:lang w:val="sl-SI" w:eastAsia="en-US"/>
        </w:rPr>
      </w:pPr>
    </w:p>
    <w:p w:rsidR="00B637A9" w:rsidRPr="0024287F" w:rsidRDefault="00EF25F5" w:rsidP="00B637A9">
      <w:pPr>
        <w:spacing w:line="360" w:lineRule="auto"/>
        <w:rPr>
          <w:rFonts w:eastAsiaTheme="minorHAnsi" w:cs="Arial"/>
          <w:bCs/>
          <w:lang w:val="sl-SI" w:eastAsia="en-US"/>
        </w:rPr>
      </w:pPr>
      <w:r>
        <w:rPr>
          <w:rFonts w:eastAsiaTheme="minorHAnsi" w:cs="Arial"/>
          <w:b/>
          <w:lang w:val="sl-SI" w:eastAsia="en-US"/>
        </w:rPr>
        <w:t>Zdrueno kraljestvo</w:t>
      </w:r>
      <w:r w:rsidR="00B637A9" w:rsidRPr="0024287F">
        <w:rPr>
          <w:rFonts w:eastAsiaTheme="minorHAnsi" w:cs="Arial"/>
          <w:bCs/>
          <w:lang w:val="sl-SI" w:eastAsia="en-US"/>
        </w:rPr>
        <w:t xml:space="preserve"> …………………</w:t>
      </w:r>
      <w:r>
        <w:rPr>
          <w:rFonts w:eastAsiaTheme="minorHAnsi" w:cs="Arial"/>
          <w:bCs/>
          <w:lang w:val="sl-SI" w:eastAsia="en-US"/>
        </w:rPr>
        <w:t>......</w:t>
      </w:r>
      <w:r w:rsidR="00B637A9" w:rsidRPr="0024287F">
        <w:rPr>
          <w:rFonts w:eastAsiaTheme="minorHAnsi" w:cs="Arial"/>
          <w:bCs/>
          <w:lang w:val="sl-SI" w:eastAsia="en-US"/>
        </w:rPr>
        <w:t>………………………….…………..</w:t>
      </w:r>
      <w:r>
        <w:rPr>
          <w:rFonts w:eastAsiaTheme="minorHAnsi" w:cs="Arial"/>
          <w:bCs/>
          <w:lang w:val="sl-SI" w:eastAsia="en-US"/>
        </w:rPr>
        <w:t>..</w:t>
      </w:r>
      <w:r w:rsidR="00B637A9" w:rsidRPr="0024287F">
        <w:rPr>
          <w:rFonts w:eastAsiaTheme="minorHAnsi" w:cs="Arial"/>
          <w:bCs/>
          <w:lang w:val="sl-SI" w:eastAsia="en-US"/>
        </w:rPr>
        <w:t>………..……… 1</w:t>
      </w:r>
      <w:bookmarkStart w:id="4" w:name="_GoBack"/>
      <w:bookmarkEnd w:id="4"/>
      <w:r>
        <w:rPr>
          <w:rFonts w:eastAsiaTheme="minorHAnsi" w:cs="Arial"/>
          <w:bCs/>
          <w:lang w:val="sl-SI" w:eastAsia="en-US"/>
        </w:rPr>
        <w:t>6</w:t>
      </w:r>
    </w:p>
    <w:p w:rsidR="00B637A9" w:rsidRPr="0024287F" w:rsidRDefault="00B637A9" w:rsidP="00B637A9">
      <w:pPr>
        <w:spacing w:line="259" w:lineRule="auto"/>
        <w:rPr>
          <w:rFonts w:cs="Arial"/>
          <w:b/>
          <w:bCs/>
          <w:color w:val="09AEE9"/>
          <w:sz w:val="56"/>
          <w:szCs w:val="56"/>
          <w:lang w:val="sl-SI"/>
        </w:rPr>
      </w:pPr>
    </w:p>
    <w:p w:rsidR="00B637A9" w:rsidRPr="0024287F" w:rsidRDefault="00B637A9" w:rsidP="00B637A9">
      <w:pPr>
        <w:pBdr>
          <w:top w:val="single" w:sz="6" w:space="4" w:color="000000"/>
          <w:left w:val="single" w:sz="6" w:space="7" w:color="000000"/>
          <w:bottom w:val="single" w:sz="6" w:space="4" w:color="000000"/>
          <w:right w:val="single" w:sz="6" w:space="7" w:color="000000"/>
        </w:pBdr>
        <w:shd w:val="solid" w:color="FFFFFF" w:fill="FFFFFF"/>
        <w:spacing w:after="60"/>
        <w:rPr>
          <w:rFonts w:cs="Arial"/>
          <w:sz w:val="20"/>
          <w:szCs w:val="20"/>
          <w:lang w:val="sl-SI"/>
        </w:rPr>
      </w:pPr>
      <w:r w:rsidRPr="0024287F">
        <w:rPr>
          <w:rFonts w:cs="Arial"/>
          <w:sz w:val="20"/>
          <w:szCs w:val="20"/>
          <w:lang w:val="sl-SI"/>
        </w:rPr>
        <w:t>© Copyright 2019 Waterschool Conzorsortium (www.waterschools.eu/partner)</w:t>
      </w:r>
    </w:p>
    <w:p w:rsidR="00B637A9" w:rsidRPr="0024287F" w:rsidRDefault="00B637A9" w:rsidP="00B637A9">
      <w:pPr>
        <w:pBdr>
          <w:top w:val="single" w:sz="6" w:space="4" w:color="000000"/>
          <w:left w:val="single" w:sz="6" w:space="7" w:color="000000"/>
          <w:bottom w:val="single" w:sz="6" w:space="4" w:color="000000"/>
          <w:right w:val="single" w:sz="6" w:space="7" w:color="000000"/>
        </w:pBdr>
        <w:shd w:val="solid" w:color="FFFFFF" w:fill="FFFFFF"/>
        <w:spacing w:after="60"/>
        <w:rPr>
          <w:rFonts w:cs="Arial"/>
          <w:sz w:val="20"/>
          <w:szCs w:val="20"/>
          <w:lang w:val="sl-SI"/>
        </w:rPr>
      </w:pPr>
      <w:r w:rsidRPr="0024287F">
        <w:rPr>
          <w:rFonts w:cs="Arial"/>
          <w:sz w:val="20"/>
          <w:szCs w:val="20"/>
          <w:lang w:val="sl-SI"/>
        </w:rPr>
        <w:t xml:space="preserve">All rights reserved. </w:t>
      </w:r>
    </w:p>
    <w:p w:rsidR="00B637A9" w:rsidRPr="0024287F" w:rsidRDefault="00B637A9" w:rsidP="00B637A9">
      <w:pPr>
        <w:pBdr>
          <w:top w:val="single" w:sz="6" w:space="4" w:color="000000"/>
          <w:left w:val="single" w:sz="6" w:space="7" w:color="000000"/>
          <w:bottom w:val="single" w:sz="6" w:space="4" w:color="000000"/>
          <w:right w:val="single" w:sz="6" w:space="7" w:color="000000"/>
        </w:pBdr>
        <w:shd w:val="solid" w:color="FFFFFF" w:fill="FFFFFF"/>
        <w:spacing w:after="60"/>
        <w:rPr>
          <w:rFonts w:cs="Arial"/>
          <w:sz w:val="20"/>
          <w:szCs w:val="20"/>
          <w:lang w:val="sl-SI"/>
        </w:rPr>
      </w:pPr>
      <w:r w:rsidRPr="0024287F">
        <w:rPr>
          <w:rFonts w:cs="Arial"/>
          <w:noProof/>
          <w:color w:val="049CCF"/>
          <w:sz w:val="20"/>
          <w:szCs w:val="20"/>
          <w:shd w:val="clear" w:color="auto" w:fill="FFFFFF"/>
          <w:lang w:val="sl-SI" w:eastAsia="sl-SI"/>
        </w:rPr>
        <w:drawing>
          <wp:inline distT="0" distB="0" distL="0" distR="0">
            <wp:extent cx="838200" cy="295275"/>
            <wp:effectExtent l="0" t="0" r="0" b="0"/>
            <wp:docPr id="5" name="Bild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9"/>
                    </pic:cNvPr>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8200" cy="295275"/>
                    </a:xfrm>
                    <a:prstGeom prst="rect">
                      <a:avLst/>
                    </a:prstGeom>
                    <a:noFill/>
                    <a:ln>
                      <a:noFill/>
                    </a:ln>
                  </pic:spPr>
                </pic:pic>
              </a:graphicData>
            </a:graphic>
          </wp:inline>
        </w:drawing>
      </w:r>
    </w:p>
    <w:p w:rsidR="00B637A9" w:rsidRPr="0024287F" w:rsidRDefault="00B637A9" w:rsidP="00B637A9">
      <w:pPr>
        <w:pBdr>
          <w:top w:val="single" w:sz="6" w:space="4" w:color="000000"/>
          <w:left w:val="single" w:sz="6" w:space="7" w:color="000000"/>
          <w:bottom w:val="single" w:sz="6" w:space="4" w:color="000000"/>
          <w:right w:val="single" w:sz="6" w:space="7" w:color="000000"/>
        </w:pBdr>
        <w:shd w:val="solid" w:color="FFFFFF" w:fill="FFFFFF"/>
        <w:spacing w:after="60"/>
        <w:rPr>
          <w:rFonts w:cs="Arial"/>
          <w:sz w:val="20"/>
          <w:szCs w:val="20"/>
          <w:shd w:val="clear" w:color="auto" w:fill="FFFFFF"/>
          <w:lang w:val="sl-SI"/>
        </w:rPr>
      </w:pPr>
      <w:r w:rsidRPr="0024287F">
        <w:rPr>
          <w:rFonts w:cs="Arial"/>
          <w:sz w:val="20"/>
          <w:szCs w:val="20"/>
          <w:shd w:val="clear" w:color="auto" w:fill="FFFFFF"/>
          <w:lang w:val="sl-SI"/>
        </w:rPr>
        <w:t xml:space="preserve">To delo je licencirano pod licenco Creative Commons </w:t>
      </w:r>
      <w:r w:rsidRPr="0024287F">
        <w:rPr>
          <w:rStyle w:val="Krepko"/>
          <w:rFonts w:cs="Arial"/>
          <w:b w:val="0"/>
          <w:sz w:val="20"/>
          <w:szCs w:val="20"/>
          <w:shd w:val="clear" w:color="auto" w:fill="FFFFFF"/>
          <w:lang w:val="sl-SI"/>
        </w:rPr>
        <w:t>Priznanje avtorstva-Nekomercialno-Deljenje pod enakimi pogoji</w:t>
      </w:r>
      <w:r w:rsidRPr="0024287F">
        <w:rPr>
          <w:rStyle w:val="Krepko"/>
          <w:rFonts w:cs="Arial"/>
          <w:color w:val="464646"/>
          <w:sz w:val="29"/>
          <w:szCs w:val="29"/>
          <w:shd w:val="clear" w:color="auto" w:fill="FFFFFF"/>
          <w:lang w:val="sl-SI"/>
        </w:rPr>
        <w:t> </w:t>
      </w:r>
      <w:r w:rsidRPr="0024287F">
        <w:rPr>
          <w:rFonts w:cs="Arial"/>
          <w:sz w:val="20"/>
          <w:szCs w:val="20"/>
          <w:shd w:val="clear" w:color="auto" w:fill="FFFFFF"/>
          <w:lang w:val="sl-SI"/>
        </w:rPr>
        <w:t xml:space="preserve"> 4.0 Mednarodna licenca. Ta licenca dovoli ostalim, da distribuirajo, predelajo (remixajo) ali prilagodijo to delo, ter gradijo na njem, v nekomercialne namene, pod pogojem, da navedete partnerje iz Waterschool projekta kot avtorje izvirnega dela. Novo nastali izdelki ne smejo biti za komercialno uporabo ter morajo biti licencirana pod enakimi pogoji. (</w:t>
      </w:r>
      <w:hyperlink r:id="rId11" w:history="1">
        <w:r w:rsidRPr="0024287F">
          <w:rPr>
            <w:rStyle w:val="Hiperpovezava"/>
            <w:rFonts w:cs="Arial"/>
            <w:sz w:val="20"/>
            <w:szCs w:val="20"/>
            <w:shd w:val="clear" w:color="auto" w:fill="FFFFFF"/>
            <w:lang w:val="sl-SI"/>
          </w:rPr>
          <w:t>https://creativecommons.org/licenses/by-nc-sa/4.0</w:t>
        </w:r>
      </w:hyperlink>
      <w:r w:rsidRPr="0024287F">
        <w:rPr>
          <w:rFonts w:cs="Arial"/>
          <w:sz w:val="20"/>
          <w:szCs w:val="20"/>
          <w:shd w:val="clear" w:color="auto" w:fill="FFFFFF"/>
          <w:lang w:val="sl-SI"/>
        </w:rPr>
        <w:t>)</w:t>
      </w:r>
    </w:p>
    <w:p w:rsidR="00B637A9" w:rsidRPr="0024287F" w:rsidRDefault="00B637A9" w:rsidP="00B637A9">
      <w:pPr>
        <w:tabs>
          <w:tab w:val="left" w:pos="4035"/>
          <w:tab w:val="center" w:pos="5173"/>
          <w:tab w:val="left" w:pos="5625"/>
        </w:tabs>
        <w:contextualSpacing/>
        <w:rPr>
          <w:rFonts w:cs="Arial"/>
          <w:color w:val="333333"/>
          <w:sz w:val="20"/>
          <w:szCs w:val="20"/>
          <w:lang w:val="sl-SI"/>
        </w:rPr>
      </w:pPr>
    </w:p>
    <w:p w:rsidR="00B637A9" w:rsidRPr="0024287F" w:rsidRDefault="00B637A9" w:rsidP="00B637A9">
      <w:pPr>
        <w:tabs>
          <w:tab w:val="left" w:pos="4035"/>
          <w:tab w:val="center" w:pos="5173"/>
          <w:tab w:val="left" w:pos="5625"/>
        </w:tabs>
        <w:contextualSpacing/>
        <w:rPr>
          <w:rFonts w:cs="Arial"/>
          <w:bCs/>
          <w:color w:val="0070C0"/>
          <w:sz w:val="20"/>
          <w:szCs w:val="20"/>
          <w:lang w:val="sl-SI"/>
        </w:rPr>
      </w:pPr>
      <w:r w:rsidRPr="0024287F">
        <w:rPr>
          <w:rFonts w:cs="Arial"/>
          <w:color w:val="333333"/>
          <w:sz w:val="20"/>
          <w:szCs w:val="20"/>
          <w:lang w:val="sl-SI"/>
        </w:rPr>
        <w:t>»Projekt je bil realiziran s pomočjo finančne podpore s strani Evropske komisije. Publikacija odraža le poglede avtorjev, Evropska komisija tako ne prevzema nikakršne odgovornosti za uporabo informacij, ki izvirajo iz te publikacije.«</w:t>
      </w:r>
    </w:p>
    <w:p w:rsidR="00F47168" w:rsidRPr="0024287F" w:rsidRDefault="00F47168" w:rsidP="0083701A">
      <w:pPr>
        <w:tabs>
          <w:tab w:val="left" w:pos="4035"/>
          <w:tab w:val="center" w:pos="5173"/>
          <w:tab w:val="left" w:pos="5625"/>
        </w:tabs>
        <w:contextualSpacing/>
        <w:rPr>
          <w:rFonts w:cs="Arial"/>
          <w:b/>
          <w:bCs/>
          <w:color w:val="0070C0"/>
          <w:sz w:val="40"/>
          <w:szCs w:val="40"/>
          <w:lang w:val="sl-SI"/>
        </w:rPr>
      </w:pPr>
    </w:p>
    <w:p w:rsidR="003A1A9F" w:rsidRPr="0024287F" w:rsidRDefault="003A1A9F" w:rsidP="00702429">
      <w:pPr>
        <w:pStyle w:val="Naslov1"/>
        <w:rPr>
          <w:lang w:val="sl-SI"/>
        </w:rPr>
      </w:pPr>
    </w:p>
    <w:p w:rsidR="00B637A9" w:rsidRPr="0024287F" w:rsidRDefault="00B637A9" w:rsidP="00B637A9">
      <w:pPr>
        <w:spacing w:line="259" w:lineRule="auto"/>
        <w:rPr>
          <w:rFonts w:cs="Arial"/>
          <w:b/>
          <w:bCs/>
          <w:color w:val="09AEE9"/>
          <w:sz w:val="40"/>
          <w:szCs w:val="40"/>
          <w:lang w:val="sl-SI"/>
        </w:rPr>
      </w:pPr>
      <w:bookmarkStart w:id="5" w:name="_Toc14770423"/>
      <w:r w:rsidRPr="0024287F">
        <w:rPr>
          <w:rFonts w:cs="Arial"/>
          <w:b/>
          <w:bCs/>
          <w:color w:val="00B0F0"/>
          <w:sz w:val="40"/>
          <w:szCs w:val="40"/>
          <w:lang w:val="sl-SI"/>
        </w:rPr>
        <w:t>Pregled stanja: Navade pri uživanju pijač, kvaliteta vode in dostop do vode v šolah držav, projektnih partneric</w:t>
      </w:r>
    </w:p>
    <w:p w:rsidR="00B637A9" w:rsidRPr="0024287F" w:rsidRDefault="00B637A9" w:rsidP="00B637A9">
      <w:pPr>
        <w:pStyle w:val="HTML-oblikovano"/>
        <w:jc w:val="both"/>
        <w:rPr>
          <w:rFonts w:ascii="Arial" w:eastAsiaTheme="minorHAnsi" w:hAnsi="Arial" w:cs="Arial"/>
          <w:sz w:val="22"/>
          <w:szCs w:val="22"/>
          <w:lang w:val="sl-SI" w:eastAsia="en-US"/>
        </w:rPr>
      </w:pPr>
    </w:p>
    <w:p w:rsidR="00B637A9" w:rsidRPr="0024287F" w:rsidRDefault="00B637A9" w:rsidP="00B637A9">
      <w:pPr>
        <w:pStyle w:val="HTML-oblikovano"/>
        <w:jc w:val="both"/>
        <w:rPr>
          <w:rFonts w:ascii="Arial" w:eastAsiaTheme="minorHAnsi" w:hAnsi="Arial" w:cs="Arial"/>
          <w:sz w:val="22"/>
          <w:szCs w:val="22"/>
          <w:lang w:val="sl-SI" w:eastAsia="en-US"/>
        </w:rPr>
      </w:pPr>
      <w:r w:rsidRPr="0024287F">
        <w:rPr>
          <w:rFonts w:ascii="Arial" w:eastAsiaTheme="minorHAnsi" w:hAnsi="Arial" w:cs="Arial"/>
          <w:sz w:val="22"/>
          <w:szCs w:val="22"/>
          <w:lang w:val="sl-SI" w:eastAsia="en-US"/>
        </w:rPr>
        <w:t xml:space="preserve">Pregled vsebuje nekatere </w:t>
      </w:r>
      <w:r w:rsidRPr="0024287F">
        <w:rPr>
          <w:rFonts w:ascii="Arial" w:eastAsiaTheme="minorHAnsi" w:hAnsi="Arial" w:cs="Arial"/>
          <w:b/>
          <w:sz w:val="22"/>
          <w:szCs w:val="22"/>
          <w:lang w:val="sl-SI" w:eastAsia="en-US"/>
        </w:rPr>
        <w:t>zdravstvene podatke</w:t>
      </w:r>
      <w:r w:rsidRPr="0024287F">
        <w:rPr>
          <w:rFonts w:ascii="Arial" w:eastAsiaTheme="minorHAnsi" w:hAnsi="Arial" w:cs="Arial"/>
          <w:sz w:val="22"/>
          <w:szCs w:val="22"/>
          <w:lang w:val="sl-SI" w:eastAsia="en-US"/>
        </w:rPr>
        <w:t xml:space="preserve"> (debelost, prekomerna telesna teža, karies) </w:t>
      </w:r>
      <w:r w:rsidRPr="0024287F">
        <w:rPr>
          <w:rFonts w:ascii="Arial" w:eastAsiaTheme="minorHAnsi" w:hAnsi="Arial" w:cs="Arial"/>
          <w:b/>
          <w:sz w:val="22"/>
          <w:szCs w:val="22"/>
          <w:lang w:val="sl-SI" w:eastAsia="en-US"/>
        </w:rPr>
        <w:t>o otrocih in mladini v državah, projektnih partnericah</w:t>
      </w:r>
      <w:r w:rsidRPr="0024287F">
        <w:rPr>
          <w:rFonts w:ascii="Arial" w:eastAsiaTheme="minorHAnsi" w:hAnsi="Arial" w:cs="Arial"/>
          <w:sz w:val="22"/>
          <w:szCs w:val="22"/>
          <w:lang w:val="sl-SI" w:eastAsia="en-US"/>
        </w:rPr>
        <w:t xml:space="preserve">. V dokumentu je tudi pregled stanja glede </w:t>
      </w:r>
      <w:r w:rsidRPr="0024287F">
        <w:rPr>
          <w:rFonts w:ascii="Arial" w:eastAsiaTheme="minorHAnsi" w:hAnsi="Arial" w:cs="Arial"/>
          <w:b/>
          <w:sz w:val="22"/>
          <w:szCs w:val="22"/>
          <w:lang w:val="sl-SI" w:eastAsia="en-US"/>
        </w:rPr>
        <w:t>kvalitete pitne vode</w:t>
      </w:r>
      <w:r w:rsidRPr="0024287F">
        <w:rPr>
          <w:rFonts w:ascii="Arial" w:eastAsiaTheme="minorHAnsi" w:hAnsi="Arial" w:cs="Arial"/>
          <w:sz w:val="22"/>
          <w:szCs w:val="22"/>
          <w:lang w:val="sl-SI" w:eastAsia="en-US"/>
        </w:rPr>
        <w:t xml:space="preserve"> in dostopnosti do nje v vrtcih in šolah. </w:t>
      </w:r>
    </w:p>
    <w:p w:rsidR="00B637A9" w:rsidRPr="0024287F" w:rsidRDefault="00B637A9" w:rsidP="00B637A9">
      <w:pPr>
        <w:pStyle w:val="HTML-oblikovano"/>
        <w:jc w:val="both"/>
        <w:rPr>
          <w:rFonts w:ascii="Arial" w:eastAsiaTheme="minorHAnsi" w:hAnsi="Arial" w:cs="Arial"/>
          <w:sz w:val="22"/>
          <w:szCs w:val="22"/>
          <w:lang w:val="sl-SI" w:eastAsia="en-US"/>
        </w:rPr>
      </w:pPr>
      <w:r w:rsidRPr="0024287F">
        <w:rPr>
          <w:rFonts w:ascii="Arial" w:eastAsiaTheme="minorHAnsi" w:hAnsi="Arial" w:cs="Arial"/>
          <w:sz w:val="22"/>
          <w:szCs w:val="22"/>
          <w:lang w:val="sl-SI" w:eastAsia="en-US"/>
        </w:rPr>
        <w:t xml:space="preserve">Zanimalo nas je tudi ali ali v sodelujočih državah obstajajo </w:t>
      </w:r>
      <w:r w:rsidRPr="0024287F">
        <w:rPr>
          <w:rFonts w:ascii="Arial" w:eastAsiaTheme="minorHAnsi" w:hAnsi="Arial" w:cs="Arial"/>
          <w:b/>
          <w:sz w:val="22"/>
          <w:szCs w:val="22"/>
          <w:lang w:val="sl-SI" w:eastAsia="en-US"/>
        </w:rPr>
        <w:t>zakonske omejitve ali pravila glede dostopnosti pijač v šolah</w:t>
      </w:r>
      <w:r w:rsidRPr="0024287F">
        <w:rPr>
          <w:rFonts w:ascii="Arial" w:eastAsiaTheme="minorHAnsi" w:hAnsi="Arial" w:cs="Arial"/>
          <w:sz w:val="22"/>
          <w:szCs w:val="22"/>
          <w:lang w:val="sl-SI" w:eastAsia="en-US"/>
        </w:rPr>
        <w:t xml:space="preserve"> (npr. omejitve pri sladkanih pijačah, zahteve glede polnjenja prodajnih avtomatov). </w:t>
      </w:r>
    </w:p>
    <w:p w:rsidR="00B637A9" w:rsidRPr="0024287F" w:rsidRDefault="00B637A9" w:rsidP="00B637A9">
      <w:pPr>
        <w:pStyle w:val="HTML-oblikovano"/>
        <w:jc w:val="both"/>
        <w:rPr>
          <w:rFonts w:ascii="Arial" w:eastAsiaTheme="minorHAnsi" w:hAnsi="Arial" w:cs="Arial"/>
          <w:sz w:val="22"/>
          <w:szCs w:val="22"/>
          <w:lang w:val="sl-SI" w:eastAsia="en-US"/>
        </w:rPr>
      </w:pPr>
    </w:p>
    <w:p w:rsidR="00B637A9" w:rsidRPr="0024287F" w:rsidRDefault="00B637A9" w:rsidP="00B637A9">
      <w:pPr>
        <w:pStyle w:val="HTML-oblikovano"/>
        <w:jc w:val="both"/>
        <w:rPr>
          <w:rFonts w:ascii="Arial" w:eastAsiaTheme="minorHAnsi" w:hAnsi="Arial" w:cs="Arial"/>
          <w:sz w:val="22"/>
          <w:szCs w:val="22"/>
          <w:lang w:val="sl-SI" w:eastAsia="en-US"/>
        </w:rPr>
      </w:pPr>
    </w:p>
    <w:p w:rsidR="00B637A9" w:rsidRPr="0024287F" w:rsidRDefault="00B637A9" w:rsidP="00B637A9">
      <w:pPr>
        <w:pStyle w:val="Naslov1"/>
        <w:rPr>
          <w:rFonts w:eastAsiaTheme="minorHAnsi" w:cs="Arial"/>
          <w:color w:val="00B0F0"/>
          <w:szCs w:val="40"/>
          <w:lang w:val="sl-SI"/>
        </w:rPr>
      </w:pPr>
      <w:bookmarkStart w:id="6" w:name="_Toc14770422"/>
      <w:r w:rsidRPr="0024287F">
        <w:rPr>
          <w:rFonts w:eastAsiaTheme="minorHAnsi" w:cs="Arial"/>
          <w:color w:val="00B0F0"/>
          <w:szCs w:val="40"/>
          <w:lang w:val="sl-SI"/>
        </w:rPr>
        <w:t xml:space="preserve">Situacija v Evropi </w:t>
      </w:r>
      <w:bookmarkEnd w:id="6"/>
    </w:p>
    <w:p w:rsidR="00B637A9" w:rsidRPr="0024287F" w:rsidRDefault="00B637A9" w:rsidP="00B637A9">
      <w:pPr>
        <w:rPr>
          <w:rFonts w:eastAsiaTheme="minorHAnsi"/>
          <w:lang w:val="sl-SI"/>
        </w:rPr>
      </w:pPr>
    </w:p>
    <w:p w:rsidR="00B637A9" w:rsidRPr="0024287F" w:rsidRDefault="00B637A9" w:rsidP="00B637A9">
      <w:pPr>
        <w:pStyle w:val="HTML-oblikovano"/>
        <w:rPr>
          <w:rFonts w:ascii="Arial" w:eastAsiaTheme="minorHAnsi" w:hAnsi="Arial" w:cs="Arial"/>
          <w:sz w:val="22"/>
          <w:szCs w:val="22"/>
          <w:lang w:val="sl-SI" w:eastAsia="en-US"/>
        </w:rPr>
      </w:pPr>
      <w:r w:rsidRPr="0024287F">
        <w:rPr>
          <w:rFonts w:ascii="Arial" w:eastAsiaTheme="minorHAnsi" w:hAnsi="Arial" w:cs="Arial"/>
          <w:sz w:val="22"/>
          <w:szCs w:val="22"/>
          <w:lang w:val="sl-SI" w:eastAsia="en-US"/>
        </w:rPr>
        <w:t xml:space="preserve">Dejstvo je, da je  v Evropi še vedno zaskrbljujoč trend debelosti in prekomerne telesne teže pri otrocih in mladini. </w:t>
      </w:r>
    </w:p>
    <w:p w:rsidR="00B637A9" w:rsidRPr="0024287F" w:rsidRDefault="00B637A9" w:rsidP="00B637A9">
      <w:pPr>
        <w:pStyle w:val="HTML-oblikovano"/>
        <w:rPr>
          <w:rFonts w:ascii="Arial" w:eastAsiaTheme="minorHAnsi" w:hAnsi="Arial" w:cs="Arial"/>
          <w:sz w:val="22"/>
          <w:szCs w:val="22"/>
          <w:lang w:val="sl-SI" w:eastAsia="en-US"/>
        </w:rPr>
      </w:pPr>
      <w:r w:rsidRPr="0024287F">
        <w:rPr>
          <w:rFonts w:ascii="Arial" w:eastAsiaTheme="minorHAnsi" w:hAnsi="Arial" w:cs="Arial"/>
          <w:sz w:val="22"/>
          <w:szCs w:val="22"/>
          <w:lang w:val="sl-SI" w:eastAsia="en-US"/>
        </w:rPr>
        <w:t xml:space="preserve">Po ugotovitvah SZO je ena tretjina evropskih otrok, starih od 6-9 let pretežkih ali debelih. Vendar  pa se v  nekaterih državah ta trend spreminja navzdol, npr. v Italiji in Sloveniji, v ostalih, kot npr. v Bolgariji pa še vedno narašča. K debelosti znatno pripomore pitje sladkih pijač, spodbujanje pitja vode -  vsaj v šolah,  pa znatno pripomore k zmanjšanju prekomerne, oz. ohranjanju primerne telesne teže. </w:t>
      </w:r>
    </w:p>
    <w:p w:rsidR="00B637A9" w:rsidRPr="0024287F" w:rsidRDefault="00B637A9" w:rsidP="00B637A9">
      <w:pPr>
        <w:pStyle w:val="HTML-oblikovano"/>
        <w:rPr>
          <w:rFonts w:ascii="Arial" w:eastAsiaTheme="minorHAnsi" w:hAnsi="Arial" w:cs="Arial"/>
          <w:sz w:val="22"/>
          <w:szCs w:val="22"/>
          <w:lang w:val="sl-SI" w:eastAsia="en-US"/>
        </w:rPr>
      </w:pPr>
    </w:p>
    <w:p w:rsidR="00B637A9" w:rsidRPr="0024287F" w:rsidRDefault="00B637A9" w:rsidP="00B637A9">
      <w:pPr>
        <w:pStyle w:val="HTML-oblikovano"/>
        <w:rPr>
          <w:rFonts w:ascii="Arial" w:eastAsiaTheme="minorHAnsi" w:hAnsi="Arial" w:cs="Arial"/>
          <w:sz w:val="22"/>
          <w:szCs w:val="22"/>
          <w:lang w:val="sl-SI" w:eastAsia="en-US"/>
        </w:rPr>
      </w:pPr>
    </w:p>
    <w:p w:rsidR="00B637A9" w:rsidRPr="0024287F" w:rsidRDefault="00B637A9" w:rsidP="00B637A9">
      <w:pPr>
        <w:rPr>
          <w:rFonts w:cs="Arial"/>
          <w:szCs w:val="22"/>
          <w:shd w:val="clear" w:color="auto" w:fill="FFFFFF"/>
          <w:lang w:val="sl-SI"/>
        </w:rPr>
      </w:pPr>
      <w:r w:rsidRPr="0024287F">
        <w:rPr>
          <w:rStyle w:val="Poudarek"/>
          <w:rFonts w:cs="Arial"/>
          <w:bCs/>
          <w:szCs w:val="22"/>
          <w:shd w:val="clear" w:color="auto" w:fill="FFFFFF"/>
          <w:lang w:val="sl-SI"/>
        </w:rPr>
        <w:t>Akcijski načrt</w:t>
      </w:r>
      <w:r w:rsidRPr="0024287F">
        <w:rPr>
          <w:rFonts w:cs="Arial"/>
          <w:szCs w:val="22"/>
          <w:shd w:val="clear" w:color="auto" w:fill="FFFFFF"/>
          <w:lang w:val="sl-SI"/>
        </w:rPr>
        <w:t> EU o </w:t>
      </w:r>
      <w:r w:rsidRPr="0024287F">
        <w:rPr>
          <w:rStyle w:val="Poudarek"/>
          <w:rFonts w:cs="Arial"/>
          <w:bCs/>
          <w:szCs w:val="22"/>
          <w:shd w:val="clear" w:color="auto" w:fill="FFFFFF"/>
          <w:lang w:val="sl-SI"/>
        </w:rPr>
        <w:t>debelosti otrok</w:t>
      </w:r>
      <w:r w:rsidRPr="0024287F">
        <w:rPr>
          <w:rFonts w:cs="Arial"/>
          <w:szCs w:val="22"/>
          <w:shd w:val="clear" w:color="auto" w:fill="FFFFFF"/>
          <w:lang w:val="sl-SI"/>
        </w:rPr>
        <w:t xml:space="preserve"> 2014–2020 navaja, da bi morale imeti prednost pobude, ki otroke spodbujajo k pitju čiste in pitne vode v šolah bodisi z namenom promocije zdravja ali kot zamenjava za sladke pijače. Šole bi morale biti "zaščitena območja", kjer ni dovoljen vnos kakršnih koli živil in pijač. Nekatere partnerske države imajo stroga pravila in pijače iz avtomatov so prepovedane, ponekod pa države nimajo omejitev glede prodaje sladkih pijač v šolah. Toda ne glede na to se skoraj v vseh državah priporoča spodbujanje pitja vode.   </w:t>
      </w:r>
    </w:p>
    <w:p w:rsidR="00B637A9" w:rsidRPr="0024287F" w:rsidRDefault="00B637A9" w:rsidP="00B637A9">
      <w:pPr>
        <w:rPr>
          <w:rFonts w:cs="Arial"/>
          <w:szCs w:val="22"/>
          <w:shd w:val="clear" w:color="auto" w:fill="FFFFFF"/>
          <w:lang w:val="sl-SI"/>
        </w:rPr>
      </w:pPr>
    </w:p>
    <w:p w:rsidR="00B637A9" w:rsidRPr="0024287F" w:rsidRDefault="00B637A9" w:rsidP="00B637A9">
      <w:pPr>
        <w:pStyle w:val="HTML-oblikovano"/>
        <w:jc w:val="both"/>
        <w:rPr>
          <w:rFonts w:ascii="Arial" w:eastAsiaTheme="minorHAnsi" w:hAnsi="Arial" w:cs="Arial"/>
          <w:sz w:val="22"/>
          <w:szCs w:val="22"/>
          <w:lang w:val="sl-SI" w:eastAsia="en-US"/>
        </w:rPr>
      </w:pPr>
    </w:p>
    <w:p w:rsidR="00B637A9" w:rsidRPr="0024287F" w:rsidRDefault="00B637A9" w:rsidP="00B637A9">
      <w:pPr>
        <w:pStyle w:val="HTML-oblikovano"/>
        <w:jc w:val="both"/>
        <w:rPr>
          <w:rStyle w:val="Poudarek"/>
          <w:rFonts w:ascii="Arial" w:hAnsi="Arial" w:cs="Arial"/>
          <w:bCs/>
          <w:i w:val="0"/>
          <w:iCs w:val="0"/>
          <w:sz w:val="22"/>
          <w:szCs w:val="22"/>
          <w:shd w:val="clear" w:color="auto" w:fill="FFFFFF"/>
          <w:lang w:val="sl-SI"/>
        </w:rPr>
      </w:pPr>
      <w:r w:rsidRPr="0024287F">
        <w:rPr>
          <w:rFonts w:ascii="Arial" w:eastAsiaTheme="minorHAnsi" w:hAnsi="Arial" w:cs="Arial"/>
          <w:sz w:val="22"/>
          <w:szCs w:val="22"/>
          <w:lang w:val="sl-SI" w:eastAsia="en-US"/>
        </w:rPr>
        <w:t xml:space="preserve"> Večini prebivalcev EU je visoko kvalitetna pitna voda zlahka dostopna. V evropskih šolah je voda izpod pipe brezplačna. Voda prihaja iz različnih virov: glavna vira sta podtalnica in površinska voda. Zato se evropska zakonodaja o vodi se osredotoča na ščitenje vodnih virov. Npr. z </w:t>
      </w:r>
      <w:r w:rsidRPr="0024287F">
        <w:rPr>
          <w:rFonts w:ascii="Arial" w:hAnsi="Arial" w:cs="Arial"/>
          <w:sz w:val="22"/>
          <w:szCs w:val="22"/>
          <w:shd w:val="clear" w:color="auto" w:fill="FFFFFF"/>
          <w:lang w:val="sl-SI"/>
        </w:rPr>
        <w:t>Okvirna </w:t>
      </w:r>
      <w:r w:rsidRPr="0024287F">
        <w:rPr>
          <w:rStyle w:val="Poudarek"/>
          <w:rFonts w:ascii="Arial" w:hAnsi="Arial" w:cs="Arial"/>
          <w:bCs/>
          <w:sz w:val="22"/>
          <w:szCs w:val="22"/>
          <w:shd w:val="clear" w:color="auto" w:fill="FFFFFF"/>
          <w:lang w:val="sl-SI"/>
        </w:rPr>
        <w:t>direktiva</w:t>
      </w:r>
      <w:r w:rsidRPr="0024287F">
        <w:rPr>
          <w:rFonts w:ascii="Arial" w:hAnsi="Arial" w:cs="Arial"/>
          <w:sz w:val="22"/>
          <w:szCs w:val="22"/>
          <w:shd w:val="clear" w:color="auto" w:fill="FFFFFF"/>
          <w:lang w:val="sl-SI"/>
        </w:rPr>
        <w:t> o vodah </w:t>
      </w:r>
      <w:r w:rsidRPr="0024287F">
        <w:rPr>
          <w:rStyle w:val="Poudarek"/>
          <w:rFonts w:ascii="Arial" w:hAnsi="Arial" w:cs="Arial"/>
          <w:bCs/>
          <w:sz w:val="22"/>
          <w:szCs w:val="22"/>
          <w:shd w:val="clear" w:color="auto" w:fill="FFFFFF"/>
          <w:lang w:val="sl-SI"/>
        </w:rPr>
        <w:t xml:space="preserve">Evropske unije je napisana tako, da bi z njo dosegli dobro ekološko stanje in zagotovili trajnostno rabo vode. Nova Direktiva o pitni vodi navaja, da bi se morala kvaliteta pitne vode po Evropi izboljšati, posebej bi morali poostriti </w:t>
      </w:r>
    </w:p>
    <w:p w:rsidR="00B637A9" w:rsidRPr="0024287F" w:rsidRDefault="00B637A9" w:rsidP="00B637A9">
      <w:pPr>
        <w:pStyle w:val="HTML-oblikovano"/>
        <w:jc w:val="both"/>
        <w:rPr>
          <w:rFonts w:ascii="Arial" w:eastAsiaTheme="minorHAnsi" w:hAnsi="Arial" w:cs="Arial"/>
          <w:sz w:val="22"/>
          <w:szCs w:val="22"/>
          <w:lang w:val="sl-SI" w:eastAsia="en-US"/>
        </w:rPr>
      </w:pPr>
      <w:r w:rsidRPr="0024287F">
        <w:rPr>
          <w:rStyle w:val="Poudarek"/>
          <w:rFonts w:ascii="Arial" w:hAnsi="Arial" w:cs="Arial"/>
          <w:bCs/>
          <w:sz w:val="22"/>
          <w:szCs w:val="22"/>
          <w:shd w:val="clear" w:color="auto" w:fill="FFFFFF"/>
          <w:lang w:val="sl-SI"/>
        </w:rPr>
        <w:t xml:space="preserve">meje za onesnaževalce, dostopna pa bi morala biti vsem prebivalcem. </w:t>
      </w:r>
    </w:p>
    <w:p w:rsidR="00B637A9" w:rsidRPr="0024287F" w:rsidRDefault="00B637A9" w:rsidP="00B637A9">
      <w:pPr>
        <w:pStyle w:val="HTML-oblikovano"/>
        <w:jc w:val="both"/>
        <w:rPr>
          <w:rFonts w:ascii="Arial" w:eastAsiaTheme="minorHAnsi" w:hAnsi="Arial" w:cs="Arial"/>
          <w:sz w:val="22"/>
          <w:szCs w:val="22"/>
          <w:lang w:val="sl-SI" w:eastAsia="en-US"/>
        </w:rPr>
      </w:pPr>
    </w:p>
    <w:p w:rsidR="00B637A9" w:rsidRPr="0024287F" w:rsidRDefault="00B637A9" w:rsidP="00B637A9">
      <w:pPr>
        <w:spacing w:line="259" w:lineRule="auto"/>
        <w:rPr>
          <w:rFonts w:cs="Arial"/>
          <w:bCs/>
          <w:szCs w:val="22"/>
          <w:lang w:val="sl-SI"/>
        </w:rPr>
      </w:pPr>
    </w:p>
    <w:p w:rsidR="00B637A9" w:rsidRPr="0024287F" w:rsidRDefault="00B637A9" w:rsidP="00B637A9">
      <w:pPr>
        <w:spacing w:line="259" w:lineRule="auto"/>
        <w:rPr>
          <w:rFonts w:eastAsiaTheme="minorHAnsi" w:cs="Arial"/>
          <w:b/>
          <w:sz w:val="18"/>
          <w:szCs w:val="18"/>
          <w:lang w:val="sl-SI" w:eastAsia="en-US"/>
        </w:rPr>
      </w:pPr>
      <w:r w:rsidRPr="0024287F">
        <w:rPr>
          <w:rFonts w:eastAsiaTheme="minorHAnsi" w:cs="Arial"/>
          <w:b/>
          <w:sz w:val="18"/>
          <w:szCs w:val="18"/>
          <w:lang w:val="sl-SI" w:eastAsia="en-US"/>
        </w:rPr>
        <w:t>Viri:</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WHO 2018: FACTSHEET Childhood Obesity Surveillance Initiative, Highlights 2015-2017, </w:t>
      </w:r>
      <w:hyperlink r:id="rId12" w:history="1">
        <w:r w:rsidRPr="0024287F">
          <w:rPr>
            <w:rStyle w:val="Hiperpovezava"/>
            <w:rFonts w:eastAsiaTheme="minorHAnsi" w:cs="Arial"/>
            <w:sz w:val="18"/>
            <w:szCs w:val="18"/>
            <w:lang w:val="sl-SI" w:eastAsia="en-US"/>
          </w:rPr>
          <w:t>http://www.ceidss.com/wp-content/uploads/2018/05/WH14_COSI_factsheets_Artwork-version.pdf</w:t>
        </w:r>
      </w:hyperlink>
      <w:r w:rsidRPr="0024287F">
        <w:rPr>
          <w:rFonts w:eastAsiaTheme="minorHAnsi" w:cs="Arial"/>
          <w:sz w:val="18"/>
          <w:szCs w:val="18"/>
          <w:lang w:val="sl-SI" w:eastAsia="en-US"/>
        </w:rPr>
        <w:t xml:space="preserve"> (access: 28.1.2019)</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EU Action Plan on Childhood Obesity 2014-2020, </w:t>
      </w:r>
      <w:hyperlink r:id="rId13" w:history="1">
        <w:r w:rsidRPr="0024287F">
          <w:rPr>
            <w:rStyle w:val="Hiperpovezava"/>
            <w:rFonts w:eastAsiaTheme="minorHAnsi" w:cs="Arial"/>
            <w:sz w:val="18"/>
            <w:szCs w:val="18"/>
            <w:lang w:val="sl-SI" w:eastAsia="en-US"/>
          </w:rPr>
          <w:t>https://ec.europa.eu/health/sites/health/files/nutrition_physical_activity/docs/childhoodobesity_actionplan_2014_2020_en.pdf</w:t>
        </w:r>
      </w:hyperlink>
      <w:r w:rsidRPr="0024287F">
        <w:rPr>
          <w:rFonts w:eastAsiaTheme="minorHAnsi" w:cs="Arial"/>
          <w:sz w:val="18"/>
          <w:szCs w:val="18"/>
          <w:lang w:val="sl-SI" w:eastAsia="en-US"/>
        </w:rPr>
        <w:t xml:space="preserve"> (access 28.1.2019)</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Report on the Quality of Drinking Water in the European Union (examining the Member States' reports for the 2011-13 period). </w:t>
      </w:r>
      <w:hyperlink r:id="rId14" w:history="1">
        <w:r w:rsidRPr="0024287F">
          <w:rPr>
            <w:rFonts w:eastAsiaTheme="minorHAnsi" w:cs="Arial"/>
            <w:sz w:val="18"/>
            <w:szCs w:val="18"/>
            <w:lang w:val="sl-SI" w:eastAsia="en-US"/>
          </w:rPr>
          <w:t>http://ec.europa.eu/environment/water/water-drink/pdf/reports/EN.pdf</w:t>
        </w:r>
      </w:hyperlink>
    </w:p>
    <w:p w:rsidR="00B637A9" w:rsidRPr="0024287F" w:rsidRDefault="00B224C0" w:rsidP="00B637A9">
      <w:pPr>
        <w:rPr>
          <w:rFonts w:eastAsiaTheme="minorHAnsi" w:cs="Arial"/>
          <w:sz w:val="18"/>
          <w:szCs w:val="18"/>
          <w:lang w:val="sl-SI" w:eastAsia="en-US"/>
        </w:rPr>
      </w:pPr>
      <w:hyperlink r:id="rId15" w:history="1">
        <w:r w:rsidR="00B637A9" w:rsidRPr="0024287F">
          <w:rPr>
            <w:rStyle w:val="Hiperpovezava"/>
            <w:rFonts w:eastAsiaTheme="minorHAnsi" w:cs="Arial"/>
            <w:sz w:val="18"/>
            <w:szCs w:val="18"/>
            <w:lang w:val="sl-SI" w:eastAsia="en-US"/>
          </w:rPr>
          <w:t>https://ec.europa.eu/eurostat/web/environment/water</w:t>
        </w:r>
      </w:hyperlink>
    </w:p>
    <w:bookmarkEnd w:id="5"/>
    <w:p w:rsidR="00B637A9" w:rsidRPr="0024287F" w:rsidRDefault="00B637A9" w:rsidP="00B637A9">
      <w:pPr>
        <w:spacing w:after="160" w:line="259" w:lineRule="auto"/>
        <w:rPr>
          <w:rFonts w:cs="Arial"/>
          <w:b/>
          <w:bCs/>
          <w:color w:val="09AEE9"/>
          <w:sz w:val="40"/>
          <w:szCs w:val="40"/>
          <w:lang w:val="sl-SI"/>
        </w:rPr>
      </w:pPr>
      <w:r w:rsidRPr="0024287F">
        <w:rPr>
          <w:rFonts w:cs="Arial"/>
          <w:b/>
          <w:bCs/>
          <w:color w:val="09AEE9"/>
          <w:sz w:val="40"/>
          <w:szCs w:val="40"/>
          <w:lang w:val="sl-SI"/>
        </w:rPr>
        <w:lastRenderedPageBreak/>
        <w:t>Avstrija</w:t>
      </w:r>
    </w:p>
    <w:p w:rsidR="00B637A9" w:rsidRPr="0024287F" w:rsidRDefault="00B637A9" w:rsidP="00B637A9">
      <w:pPr>
        <w:spacing w:line="259" w:lineRule="auto"/>
        <w:rPr>
          <w:rFonts w:cs="Arial"/>
          <w:b/>
          <w:bCs/>
          <w:color w:val="09AEE9"/>
          <w:szCs w:val="22"/>
          <w:lang w:val="sl-SI"/>
        </w:rPr>
      </w:pPr>
    </w:p>
    <w:p w:rsidR="00B637A9" w:rsidRPr="0024287F" w:rsidRDefault="00B637A9" w:rsidP="00B637A9">
      <w:pPr>
        <w:spacing w:line="259" w:lineRule="auto"/>
        <w:rPr>
          <w:rFonts w:cs="Arial"/>
          <w:b/>
          <w:bCs/>
          <w:color w:val="00B0F0"/>
          <w:sz w:val="32"/>
          <w:szCs w:val="32"/>
          <w:lang w:val="sl-SI"/>
        </w:rPr>
      </w:pPr>
      <w:r w:rsidRPr="0024287F">
        <w:rPr>
          <w:rFonts w:cs="Arial"/>
          <w:b/>
          <w:bCs/>
          <w:color w:val="00B0F0"/>
          <w:sz w:val="32"/>
          <w:szCs w:val="32"/>
          <w:lang w:val="sl-SI"/>
        </w:rPr>
        <w:t xml:space="preserve">Navade pri uživanju pijač pri otrocih in mladostnikih </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lang w:val="sl-SI" w:eastAsia="en-US"/>
        </w:rPr>
      </w:pP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cs="Arial"/>
          <w:szCs w:val="22"/>
          <w:lang w:val="sl-SI" w:eastAsia="en-US"/>
        </w:rPr>
      </w:pPr>
      <w:r w:rsidRPr="0024287F">
        <w:rPr>
          <w:rFonts w:eastAsiaTheme="minorHAnsi" w:cs="Arial"/>
          <w:b/>
          <w:szCs w:val="22"/>
          <w:lang w:val="sl-SI" w:eastAsia="en-US"/>
        </w:rPr>
        <w:t>Starost 5-10 let:</w:t>
      </w:r>
      <w:r w:rsidRPr="0024287F">
        <w:rPr>
          <w:rFonts w:eastAsiaTheme="minorHAnsi" w:cs="Arial"/>
          <w:szCs w:val="22"/>
          <w:lang w:val="sl-SI" w:eastAsia="en-US"/>
        </w:rPr>
        <w:t xml:space="preserve"> Otroci ne dosegajo priporočil glede pitja. Iz opazovanja njihovega obnašanja je razvidno, da  60 odstotkov učencev v šoli ne pije.</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cs="Arial"/>
          <w:szCs w:val="22"/>
          <w:lang w:val="sl-SI" w:eastAsia="en-US"/>
        </w:rPr>
      </w:pP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cs="Arial"/>
          <w:szCs w:val="22"/>
          <w:lang w:val="sl-SI" w:eastAsia="en-US"/>
        </w:rPr>
      </w:pPr>
      <w:r w:rsidRPr="0024287F">
        <w:rPr>
          <w:rFonts w:eastAsiaTheme="minorHAnsi" w:cs="Arial"/>
          <w:b/>
          <w:szCs w:val="22"/>
          <w:lang w:val="sl-SI" w:eastAsia="en-US"/>
        </w:rPr>
        <w:t>Starost 10-18 let:</w:t>
      </w:r>
      <w:r w:rsidRPr="0024287F">
        <w:rPr>
          <w:rFonts w:eastAsiaTheme="minorHAnsi" w:cs="Arial"/>
          <w:szCs w:val="22"/>
          <w:lang w:val="sl-SI" w:eastAsia="en-US"/>
        </w:rPr>
        <w:t xml:space="preserve"> Učenci v ti starosti pijejo dovolj. Vprašljiva pa je situacija pri dekletih starih od 13 - 14 let, kjer spijejo le 90 odstotkov od priporočene količine pijače.  </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cs="Arial"/>
          <w:szCs w:val="22"/>
          <w:lang w:val="sl-SI" w:eastAsia="en-US"/>
        </w:rPr>
      </w:pPr>
      <w:r w:rsidRPr="0024287F">
        <w:rPr>
          <w:rFonts w:eastAsiaTheme="minorHAnsi" w:cs="Arial"/>
          <w:szCs w:val="22"/>
          <w:lang w:val="sl-SI" w:eastAsia="en-US"/>
        </w:rPr>
        <w:t xml:space="preserve">20 - 30 odstotkov mladih v starosti 10 - 18 let dnevno uživa sladke pijače. Ob začetku pubertete količina popitih pijač doseže vrh, pri 17 letih pa začne ponovno padati. Natančneje: 25 odstotkov 10  letnikov (dečkov in deklic) ter 25 odstotkov 13 - in 15 - letnih dečkov vsakodnevno pije sladkane pijače, pri isto starih deklicah pa je takih le 15 odstotkov. </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cs="Arial"/>
          <w:szCs w:val="22"/>
          <w:lang w:val="sl-SI" w:eastAsia="en-US"/>
        </w:rPr>
      </w:pP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cs="Arial"/>
          <w:szCs w:val="22"/>
          <w:lang w:val="sl-SI" w:eastAsia="en-US"/>
        </w:rPr>
      </w:pPr>
      <w:r w:rsidRPr="0024287F">
        <w:rPr>
          <w:rFonts w:eastAsiaTheme="minorHAnsi" w:cs="Arial"/>
          <w:szCs w:val="22"/>
          <w:lang w:val="sl-SI" w:eastAsia="en-US"/>
        </w:rPr>
        <w:t xml:space="preserve">Pregled v dunajskih srednjih šolah (starost 10-15 let) je pokazal, da dve tretjini otrok redno, večkrat tedensko pije sladkane pijače, polovica teh pijače uživa dnevno (33 odstotkov dečkov, 30 odstotkov deklet), 15 odstotkov pa nikoli ali zelo poredko pijejo vodo.  </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cs="Arial"/>
          <w:szCs w:val="22"/>
          <w:lang w:val="sl-SI" w:eastAsia="en-US"/>
        </w:rPr>
      </w:pPr>
    </w:p>
    <w:p w:rsidR="00B637A9" w:rsidRPr="0024287F" w:rsidRDefault="00B637A9" w:rsidP="00B637A9">
      <w:pPr>
        <w:rPr>
          <w:rFonts w:eastAsiaTheme="minorHAnsi" w:cs="Arial"/>
          <w:b/>
          <w:sz w:val="18"/>
          <w:szCs w:val="18"/>
          <w:lang w:val="sl-SI" w:eastAsia="en-US"/>
        </w:rPr>
      </w:pPr>
      <w:r w:rsidRPr="0024287F">
        <w:rPr>
          <w:rFonts w:eastAsiaTheme="minorHAnsi" w:cs="Arial"/>
          <w:b/>
          <w:sz w:val="18"/>
          <w:szCs w:val="18"/>
          <w:lang w:val="sl-SI" w:eastAsia="en-US"/>
        </w:rPr>
        <w:t xml:space="preserve">Viri: </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Bundesministerium für Gesundheit: Ernährungsbericht 2012. </w:t>
      </w:r>
      <w:hyperlink r:id="rId16" w:history="1">
        <w:r w:rsidRPr="0024287F">
          <w:rPr>
            <w:rFonts w:eastAsiaTheme="minorHAnsi" w:cs="Arial"/>
            <w:color w:val="0563C1"/>
            <w:sz w:val="18"/>
            <w:szCs w:val="18"/>
            <w:u w:val="single"/>
            <w:lang w:val="sl-SI" w:eastAsia="en-US"/>
          </w:rPr>
          <w:t>https://www.bmgf.gv.at/cms/home/attachments/4/5/3/CH1048/CMS1348749794860/oeb12.pdf</w:t>
        </w:r>
      </w:hyperlink>
      <w:r w:rsidRPr="0024287F">
        <w:rPr>
          <w:rFonts w:eastAsiaTheme="minorHAnsi" w:cs="Arial"/>
          <w:sz w:val="18"/>
          <w:szCs w:val="18"/>
          <w:lang w:val="sl-SI" w:eastAsia="en-US"/>
        </w:rPr>
        <w:t xml:space="preserve"> </w:t>
      </w:r>
      <w:bookmarkStart w:id="7" w:name="_Hlk534719857"/>
      <w:r w:rsidRPr="0024287F">
        <w:rPr>
          <w:rFonts w:eastAsiaTheme="minorHAnsi" w:cs="Arial"/>
          <w:sz w:val="18"/>
          <w:szCs w:val="18"/>
          <w:lang w:val="sl-SI" w:eastAsia="en-US"/>
        </w:rPr>
        <w:t>[abgerufen am 8.1.2019].</w:t>
      </w:r>
      <w:bookmarkEnd w:id="7"/>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Swazina,K.R., Nitsch,M. (2011): Evaluationsbericht „Wiener Jause - Essen und Trinken an Volksschulen" . 1. Zwischenbericht. Ludwig Boltzmann Institute Health Promotion Research. Wien: LBIHPR</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HBSC Factsheet 02: Das Ernährungsverhalten österreichischer Schülerinnen und Schüler (HBSC </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Ergebnisse 2014) </w:t>
      </w:r>
      <w:hyperlink r:id="rId17" w:history="1">
        <w:r w:rsidRPr="0024287F">
          <w:rPr>
            <w:rFonts w:eastAsiaTheme="minorHAnsi" w:cs="Arial"/>
            <w:color w:val="0563C1"/>
            <w:sz w:val="18"/>
            <w:szCs w:val="18"/>
            <w:u w:val="single"/>
            <w:lang w:val="sl-SI" w:eastAsia="en-US"/>
          </w:rPr>
          <w:t>https://www.bmgf.gv.at/cms/home/attachments/9/7/0/CH1444/CMS1427118828092/hbsc_2014_-_factsheet_ernaehrung.pdf</w:t>
        </w:r>
      </w:hyperlink>
      <w:r w:rsidRPr="0024287F">
        <w:rPr>
          <w:rFonts w:eastAsiaTheme="minorHAnsi" w:cs="Arial"/>
          <w:sz w:val="18"/>
          <w:szCs w:val="18"/>
          <w:lang w:val="sl-SI" w:eastAsia="en-US"/>
        </w:rPr>
        <w:t xml:space="preserve"> [abgerufen am 8.1.2019].</w:t>
      </w:r>
    </w:p>
    <w:p w:rsidR="00B637A9" w:rsidRPr="0024287F" w:rsidRDefault="00B637A9" w:rsidP="00B637A9">
      <w:pPr>
        <w:spacing w:line="259" w:lineRule="auto"/>
        <w:rPr>
          <w:rFonts w:cs="Arial"/>
          <w:b/>
          <w:bCs/>
          <w:sz w:val="28"/>
          <w:szCs w:val="28"/>
          <w:lang w:val="sl-SI"/>
        </w:rPr>
      </w:pPr>
    </w:p>
    <w:p w:rsidR="00B637A9" w:rsidRPr="0024287F" w:rsidRDefault="00B637A9" w:rsidP="00B637A9">
      <w:pPr>
        <w:spacing w:line="259" w:lineRule="auto"/>
        <w:rPr>
          <w:rFonts w:cs="Arial"/>
          <w:b/>
          <w:bCs/>
          <w:color w:val="00B0F0"/>
          <w:sz w:val="32"/>
          <w:szCs w:val="32"/>
          <w:lang w:val="sl-SI"/>
        </w:rPr>
      </w:pPr>
      <w:r w:rsidRPr="0024287F">
        <w:rPr>
          <w:rFonts w:cs="Arial"/>
          <w:b/>
          <w:bCs/>
          <w:color w:val="00B0F0"/>
          <w:sz w:val="32"/>
          <w:szCs w:val="32"/>
          <w:lang w:val="sl-SI"/>
        </w:rPr>
        <w:t xml:space="preserve">Stopnja debelosti, prekomerne telesne teže in kariesa med otroci/mladino </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Arial"/>
          <w:b/>
          <w:bCs/>
          <w:lang w:val="sl-SI"/>
        </w:rPr>
      </w:pPr>
    </w:p>
    <w:p w:rsidR="00B637A9" w:rsidRPr="0024287F" w:rsidRDefault="00B637A9" w:rsidP="00B637A9">
      <w:pPr>
        <w:spacing w:after="160" w:line="259" w:lineRule="auto"/>
        <w:jc w:val="both"/>
        <w:rPr>
          <w:rFonts w:eastAsiaTheme="minorHAnsi" w:cs="Arial"/>
          <w:szCs w:val="22"/>
          <w:lang w:val="sl-SI" w:eastAsia="en-US"/>
        </w:rPr>
      </w:pPr>
      <w:r w:rsidRPr="0024287F">
        <w:rPr>
          <w:rFonts w:eastAsiaTheme="minorHAnsi" w:cs="Arial"/>
          <w:b/>
          <w:szCs w:val="22"/>
          <w:lang w:val="sl-SI" w:eastAsia="en-US"/>
        </w:rPr>
        <w:t xml:space="preserve">Vrtci: </w:t>
      </w:r>
      <w:r w:rsidRPr="0024287F">
        <w:rPr>
          <w:rFonts w:eastAsiaTheme="minorHAnsi" w:cs="Arial"/>
          <w:szCs w:val="22"/>
          <w:lang w:val="sl-SI" w:eastAsia="en-US"/>
        </w:rPr>
        <w:t>V Avstriji je 10 odstotkov predšolskih otrok (starih od 3 - 6 let) prekomerno težkih, 6 odstotkov dečkov in 3 odstotki deklic pa je debelih.</w:t>
      </w:r>
    </w:p>
    <w:p w:rsidR="00B637A9" w:rsidRPr="0024287F" w:rsidRDefault="00B637A9" w:rsidP="00B637A9">
      <w:pPr>
        <w:spacing w:after="160" w:line="259" w:lineRule="auto"/>
        <w:jc w:val="both"/>
        <w:rPr>
          <w:rFonts w:eastAsiaTheme="minorHAnsi" w:cs="Arial"/>
          <w:szCs w:val="22"/>
          <w:lang w:val="sl-SI" w:eastAsia="en-US"/>
        </w:rPr>
      </w:pPr>
      <w:r w:rsidRPr="0024287F">
        <w:rPr>
          <w:rFonts w:eastAsiaTheme="minorHAnsi" w:cs="Arial"/>
          <w:b/>
          <w:szCs w:val="22"/>
          <w:lang w:val="sl-SI" w:eastAsia="en-US"/>
        </w:rPr>
        <w:t>Starost 5-10 let:</w:t>
      </w:r>
      <w:r w:rsidRPr="0024287F">
        <w:rPr>
          <w:rFonts w:eastAsiaTheme="minorHAnsi" w:cs="Arial"/>
          <w:szCs w:val="22"/>
          <w:lang w:val="sl-SI" w:eastAsia="en-US"/>
        </w:rPr>
        <w:t xml:space="preserve"> V osnovnih šolah telesna teža otrok narašča. Približno 30 odstotkov dečkov (8 let) je prekomerno težkih ali debelih, od tega 12 odstotkov spada v morbidno debelost. Pri dekletih obstajajo razlike glede na regije; na Zahodu Avstrije je 20,6 odstotka deklet prekomerno težkih ali debelih, na Vzhodu je to 29,1 odstotek deklet, od teh deklet pa jih 7,4 odstotka spada v  morbidno debelost.</w:t>
      </w:r>
    </w:p>
    <w:p w:rsidR="00B637A9" w:rsidRPr="0024287F" w:rsidRDefault="00B637A9" w:rsidP="00B637A9">
      <w:pPr>
        <w:spacing w:after="160" w:line="259" w:lineRule="auto"/>
        <w:jc w:val="both"/>
        <w:rPr>
          <w:rFonts w:eastAsiaTheme="minorHAnsi" w:cs="Arial"/>
          <w:szCs w:val="22"/>
          <w:lang w:val="sl-SI" w:eastAsia="en-US"/>
        </w:rPr>
      </w:pPr>
      <w:r w:rsidRPr="0024287F">
        <w:rPr>
          <w:rFonts w:eastAsiaTheme="minorHAnsi" w:cs="Arial"/>
          <w:szCs w:val="22"/>
          <w:lang w:val="sl-SI" w:eastAsia="en-US"/>
        </w:rPr>
        <w:t xml:space="preserve">Pregled zdravja zob na nacionalnem nivoju 2016 pa je pokazal, da ima karies 45 odstotkov pregledanih otrok v starosti 6 do 7 let. Pri tem ključno vlogo igra socioekonomski položaj družine. </w:t>
      </w:r>
    </w:p>
    <w:p w:rsidR="00B637A9" w:rsidRPr="0024287F" w:rsidRDefault="00B637A9" w:rsidP="00B637A9">
      <w:pPr>
        <w:spacing w:after="160" w:line="259" w:lineRule="auto"/>
        <w:jc w:val="both"/>
        <w:rPr>
          <w:rFonts w:eastAsiaTheme="minorHAnsi" w:cs="Arial"/>
          <w:szCs w:val="22"/>
          <w:lang w:val="sl-SI" w:eastAsia="en-US"/>
        </w:rPr>
      </w:pPr>
      <w:r w:rsidRPr="0024287F">
        <w:rPr>
          <w:rFonts w:eastAsiaTheme="minorHAnsi" w:cs="Arial"/>
          <w:b/>
          <w:szCs w:val="22"/>
          <w:lang w:val="sl-SI" w:eastAsia="en-US"/>
        </w:rPr>
        <w:t>Starost 10-18 let:</w:t>
      </w:r>
      <w:r w:rsidRPr="0024287F">
        <w:rPr>
          <w:rFonts w:eastAsiaTheme="minorHAnsi" w:cs="Arial"/>
          <w:szCs w:val="22"/>
          <w:lang w:val="sl-SI" w:eastAsia="en-US"/>
        </w:rPr>
        <w:t xml:space="preserve"> Po podatkih HBSC je 20 odstotkov 11 letnih dečkov ter 16 odstotkov deklic prekomerno težkih ali debelih.  Pri 13 let starih otrocih je takih 23 odstotkov dečkov in 17 odstotkov deklic. V starosti 15 let se odstotek zniža in prekomerno težkih ali debelih je 19 odstotkov dečkov in 10 odstotkov deklic. Kot je vidno, imajo dečki vseh starosti nekoliko večjo prevalenco za debelost. Potrebno je upoštevati še, da so HBSC podatki  zbrani na osnovi samoporočanja o višini in teži, zato lahko pride do odstopanj z dejansko situacijo. </w:t>
      </w:r>
    </w:p>
    <w:p w:rsidR="00B637A9" w:rsidRPr="0024287F" w:rsidRDefault="00B637A9" w:rsidP="00B637A9">
      <w:pPr>
        <w:rPr>
          <w:rFonts w:eastAsiaTheme="minorHAnsi" w:cs="Arial"/>
          <w:b/>
          <w:sz w:val="18"/>
          <w:szCs w:val="18"/>
          <w:lang w:val="sl-SI" w:eastAsia="en-US"/>
        </w:rPr>
      </w:pPr>
    </w:p>
    <w:p w:rsidR="00B637A9" w:rsidRPr="0024287F" w:rsidRDefault="00B637A9" w:rsidP="00B637A9">
      <w:pPr>
        <w:rPr>
          <w:rFonts w:eastAsiaTheme="minorHAnsi" w:cs="Arial"/>
          <w:b/>
          <w:sz w:val="18"/>
          <w:szCs w:val="18"/>
          <w:lang w:val="sl-SI" w:eastAsia="en-US"/>
        </w:rPr>
      </w:pPr>
      <w:r w:rsidRPr="0024287F">
        <w:rPr>
          <w:rFonts w:eastAsiaTheme="minorHAnsi" w:cs="Arial"/>
          <w:b/>
          <w:sz w:val="18"/>
          <w:szCs w:val="18"/>
          <w:lang w:val="sl-SI" w:eastAsia="en-US"/>
        </w:rPr>
        <w:lastRenderedPageBreak/>
        <w:t xml:space="preserve">Viri: </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COSI - Childhood Obesity Surveillance Initiative (2017). </w:t>
      </w:r>
      <w:hyperlink r:id="rId18" w:history="1">
        <w:r w:rsidRPr="0024287F">
          <w:rPr>
            <w:rFonts w:eastAsiaTheme="minorHAnsi" w:cs="Arial"/>
            <w:sz w:val="18"/>
            <w:szCs w:val="18"/>
            <w:lang w:val="sl-SI" w:eastAsia="en-US"/>
          </w:rPr>
          <w:t>https://www.bmgf.gv.at/cms/home/attachments/8/3/3/CH1048/CMS1509621215790/cosi_2017_20171019.pdf</w:t>
        </w:r>
      </w:hyperlink>
      <w:r w:rsidRPr="0024287F">
        <w:rPr>
          <w:rFonts w:eastAsiaTheme="minorHAnsi" w:cs="Arial"/>
          <w:sz w:val="18"/>
          <w:szCs w:val="18"/>
          <w:lang w:val="sl-SI" w:eastAsia="en-US"/>
        </w:rPr>
        <w:t xml:space="preserve"> [abgerufen am 8.1.2019].</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Bodenwinkler A., Sax G., Kerschbaum J. (2017): Länder-Zahnstatuserhebung 2016: Sechsjährige in Österreich. Zahnstatus sechsjähriger Kinder mit und ohne Migrationshintergrund. Gesundheit Österreich, Wien </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HBSC Factsheet 02: Das Ernährungsverhalten österreichischer Schülerinnen und Schüler (HBSC </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Ergebnisse 2014) </w:t>
      </w:r>
      <w:hyperlink r:id="rId19" w:history="1">
        <w:r w:rsidRPr="0024287F">
          <w:rPr>
            <w:rFonts w:eastAsiaTheme="minorHAnsi" w:cs="Arial"/>
            <w:sz w:val="18"/>
            <w:szCs w:val="18"/>
            <w:lang w:val="sl-SI" w:eastAsia="en-US"/>
          </w:rPr>
          <w:t>https://www.bmgf.gv.at/cms/home/attachments/9/7/0/CH1444/CMS1427118828092/hbsc_2014_-_factsheet_ernaehrung.pdf</w:t>
        </w:r>
      </w:hyperlink>
      <w:r w:rsidRPr="0024287F">
        <w:rPr>
          <w:rFonts w:eastAsiaTheme="minorHAnsi" w:cs="Arial"/>
          <w:sz w:val="18"/>
          <w:szCs w:val="18"/>
          <w:lang w:val="sl-SI" w:eastAsia="en-US"/>
        </w:rPr>
        <w:t xml:space="preserve"> [abgerufen am 8.1.2019].</w:t>
      </w:r>
    </w:p>
    <w:p w:rsidR="00B637A9" w:rsidRPr="0024287F" w:rsidRDefault="00B637A9" w:rsidP="00B637A9">
      <w:pPr>
        <w:spacing w:after="160" w:line="259" w:lineRule="auto"/>
        <w:rPr>
          <w:rFonts w:eastAsiaTheme="minorHAnsi" w:cs="Arial"/>
          <w:szCs w:val="22"/>
          <w:lang w:val="sl-SI" w:eastAsia="en-US"/>
        </w:rPr>
      </w:pPr>
    </w:p>
    <w:p w:rsidR="00B637A9" w:rsidRPr="0024287F" w:rsidRDefault="00B637A9" w:rsidP="00B637A9">
      <w:pPr>
        <w:spacing w:line="259" w:lineRule="auto"/>
        <w:rPr>
          <w:rFonts w:cs="Arial"/>
          <w:b/>
          <w:bCs/>
          <w:color w:val="00B0F0"/>
          <w:sz w:val="32"/>
          <w:szCs w:val="32"/>
          <w:lang w:val="sl-SI"/>
        </w:rPr>
      </w:pPr>
      <w:r w:rsidRPr="0024287F">
        <w:rPr>
          <w:rFonts w:cs="Arial"/>
          <w:b/>
          <w:bCs/>
          <w:noProof/>
          <w:color w:val="00B0F0"/>
          <w:sz w:val="32"/>
          <w:szCs w:val="32"/>
          <w:lang w:val="sl-SI" w:eastAsia="sl-SI"/>
        </w:rPr>
        <w:drawing>
          <wp:anchor distT="0" distB="0" distL="114300" distR="114300" simplePos="0" relativeHeight="251669504" behindDoc="0" locked="0" layoutInCell="1" allowOverlap="1">
            <wp:simplePos x="0" y="0"/>
            <wp:positionH relativeFrom="column">
              <wp:posOffset>3815080</wp:posOffset>
            </wp:positionH>
            <wp:positionV relativeFrom="paragraph">
              <wp:posOffset>206375</wp:posOffset>
            </wp:positionV>
            <wp:extent cx="2314575" cy="1800225"/>
            <wp:effectExtent l="19050" t="0" r="9525" b="0"/>
            <wp:wrapThrough wrapText="bothSides">
              <wp:wrapPolygon edited="0">
                <wp:start x="-178" y="0"/>
                <wp:lineTo x="-178" y="21486"/>
                <wp:lineTo x="21689" y="21486"/>
                <wp:lineTo x="21689" y="0"/>
                <wp:lineTo x="-178" y="0"/>
              </wp:wrapPolygon>
            </wp:wrapThrough>
            <wp:docPr id="7" name="Diagramm 6">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a16="http://schemas.microsoft.com/office/drawing/2014/main" xmlns:dgm="http://schemas.openxmlformats.org/drawingml/2006/diagram" xmlns:c="http://schemas.openxmlformats.org/drawingml/2006/chart" xmlns:a14="http://schemas.microsoft.com/office/drawing/2010/main" xmlns:pic="http://schemas.openxmlformats.org/drawingml/2006/pictur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F6488CA-25C3-41C2-A363-DB615E23FC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sidRPr="0024287F">
        <w:rPr>
          <w:rFonts w:cs="Arial"/>
          <w:b/>
          <w:bCs/>
          <w:color w:val="00B0F0"/>
          <w:sz w:val="32"/>
          <w:szCs w:val="32"/>
          <w:lang w:val="sl-SI"/>
        </w:rPr>
        <w:t xml:space="preserve">Dostop do čiste pitne vode  </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lang w:val="sl-SI" w:eastAsia="en-US"/>
        </w:rPr>
      </w:pPr>
    </w:p>
    <w:p w:rsidR="00B637A9" w:rsidRPr="0024287F" w:rsidRDefault="00B637A9" w:rsidP="00B637A9">
      <w:pPr>
        <w:spacing w:after="160" w:line="259" w:lineRule="auto"/>
        <w:rPr>
          <w:rFonts w:eastAsiaTheme="minorHAnsi" w:cs="Arial"/>
          <w:b/>
          <w:szCs w:val="22"/>
          <w:lang w:val="sl-SI" w:eastAsia="en-US"/>
        </w:rPr>
      </w:pPr>
      <w:r w:rsidRPr="0024287F">
        <w:rPr>
          <w:rFonts w:eastAsiaTheme="minorHAnsi" w:cs="Arial"/>
          <w:b/>
          <w:szCs w:val="22"/>
          <w:lang w:val="sl-SI" w:eastAsia="en-US"/>
        </w:rPr>
        <w:t xml:space="preserve">Viri pitne vode v Avstriji </w:t>
      </w:r>
    </w:p>
    <w:p w:rsidR="00B637A9" w:rsidRPr="0024287F" w:rsidRDefault="00B637A9" w:rsidP="00B637A9">
      <w:pPr>
        <w:rPr>
          <w:rFonts w:eastAsiaTheme="minorHAnsi" w:cs="Arial"/>
          <w:szCs w:val="22"/>
          <w:lang w:val="sl-SI" w:eastAsia="en-US"/>
        </w:rPr>
      </w:pPr>
      <w:r w:rsidRPr="0024287F">
        <w:rPr>
          <w:rFonts w:eastAsiaTheme="minorHAnsi" w:cs="Arial"/>
          <w:szCs w:val="22"/>
          <w:lang w:val="sl-SI" w:eastAsia="en-US"/>
        </w:rPr>
        <w:t>Izvirska,  oz.talna  voda: 100 %</w:t>
      </w:r>
      <w:r w:rsidRPr="0024287F">
        <w:rPr>
          <w:rFonts w:cs="Arial"/>
          <w:noProof/>
          <w:lang w:val="sl-SI"/>
        </w:rPr>
        <w:t xml:space="preserve"> </w:t>
      </w:r>
    </w:p>
    <w:p w:rsidR="00B637A9" w:rsidRPr="0024287F" w:rsidRDefault="00B637A9" w:rsidP="00B637A9">
      <w:pPr>
        <w:spacing w:after="160" w:line="259" w:lineRule="auto"/>
        <w:rPr>
          <w:rFonts w:eastAsiaTheme="minorHAnsi" w:cs="Arial"/>
          <w:szCs w:val="22"/>
          <w:lang w:val="sl-SI" w:eastAsia="en-US"/>
        </w:rPr>
      </w:pPr>
    </w:p>
    <w:p w:rsidR="00B637A9" w:rsidRPr="0024287F" w:rsidRDefault="00B637A9" w:rsidP="00B637A9">
      <w:pPr>
        <w:spacing w:after="160" w:line="259" w:lineRule="auto"/>
        <w:rPr>
          <w:rFonts w:eastAsiaTheme="minorHAnsi" w:cs="Arial"/>
          <w:szCs w:val="22"/>
          <w:lang w:val="sl-SI" w:eastAsia="en-US"/>
        </w:rPr>
      </w:pPr>
      <w:r w:rsidRPr="0024287F">
        <w:rPr>
          <w:rFonts w:eastAsiaTheme="minorHAnsi" w:cs="Arial"/>
          <w:szCs w:val="22"/>
          <w:lang w:val="sl-SI" w:eastAsia="en-US"/>
        </w:rPr>
        <w:t xml:space="preserve">Avstrija ima veliko rezerv sveže vode, kar 12.000  m³ letno na prebivalca. Potrebam po pitni vodi lahko popolnoma zadostijo iz zaščitenih virov talnih (izvirskih) voda. Skoraj 92 odstotkov avstrijske populacije pije vodo iz  javnega vodovoda, 8 odstotkov pa uporablja svoje vodnjake. </w:t>
      </w:r>
    </w:p>
    <w:p w:rsidR="00B637A9" w:rsidRPr="0024287F" w:rsidRDefault="00B637A9" w:rsidP="00B637A9">
      <w:pPr>
        <w:jc w:val="right"/>
        <w:rPr>
          <w:rFonts w:eastAsiaTheme="minorHAnsi" w:cs="Arial"/>
          <w:szCs w:val="22"/>
          <w:lang w:val="sl-SI" w:eastAsia="en-US"/>
        </w:rPr>
      </w:pPr>
      <w:r w:rsidRPr="0024287F">
        <w:rPr>
          <w:rFonts w:eastAsiaTheme="minorHAnsi" w:cs="Arial"/>
          <w:szCs w:val="22"/>
          <w:lang w:val="sl-SI" w:eastAsia="en-US"/>
        </w:rPr>
        <w:t>Izvirska,  oz.talna  voda: 100 %</w:t>
      </w:r>
      <w:r w:rsidRPr="0024287F">
        <w:rPr>
          <w:rFonts w:cs="Arial"/>
          <w:noProof/>
          <w:lang w:val="sl-SI"/>
        </w:rPr>
        <w:t xml:space="preserve"> </w:t>
      </w:r>
    </w:p>
    <w:p w:rsidR="00B637A9" w:rsidRPr="0024287F" w:rsidRDefault="00B637A9" w:rsidP="00B637A9">
      <w:pPr>
        <w:spacing w:after="160" w:line="259" w:lineRule="auto"/>
        <w:rPr>
          <w:rFonts w:eastAsiaTheme="minorHAnsi" w:cs="Arial"/>
          <w:b/>
          <w:szCs w:val="22"/>
          <w:lang w:val="sl-SI" w:eastAsia="en-US"/>
        </w:rPr>
      </w:pPr>
      <w:r w:rsidRPr="0024287F">
        <w:rPr>
          <w:rFonts w:eastAsiaTheme="minorHAnsi" w:cs="Arial"/>
          <w:b/>
          <w:szCs w:val="22"/>
          <w:lang w:val="sl-SI" w:eastAsia="en-US"/>
        </w:rPr>
        <w:t xml:space="preserve">Oskrba vrtcev in šol z varno pitno vodo </w:t>
      </w:r>
    </w:p>
    <w:p w:rsidR="00B637A9" w:rsidRPr="0024287F" w:rsidRDefault="00B637A9" w:rsidP="00B637A9">
      <w:pPr>
        <w:spacing w:after="160" w:line="259" w:lineRule="auto"/>
        <w:jc w:val="both"/>
        <w:rPr>
          <w:rFonts w:eastAsiaTheme="minorHAnsi" w:cs="Arial"/>
          <w:szCs w:val="22"/>
          <w:lang w:val="sl-SI" w:eastAsia="en-US"/>
        </w:rPr>
      </w:pPr>
      <w:r w:rsidRPr="0024287F">
        <w:rPr>
          <w:rFonts w:eastAsiaTheme="minorHAnsi" w:cs="Arial"/>
          <w:szCs w:val="22"/>
          <w:lang w:val="sl-SI" w:eastAsia="en-US"/>
        </w:rPr>
        <w:t xml:space="preserve">Vrtci in šole imajo dostop do varne pitne vode, kar nadzoruje Uredba o pitni vodi. Spremljati je potrebno kvaliteto vode,  rezultate pa objavljati vsaj enkrat letno. Voda, ki prihaja v vrtce, šole in gospodinjstva, mora biti varna. </w:t>
      </w:r>
    </w:p>
    <w:p w:rsidR="00B637A9" w:rsidRPr="0024287F" w:rsidRDefault="00B637A9" w:rsidP="00B637A9">
      <w:pPr>
        <w:spacing w:after="160" w:line="259" w:lineRule="auto"/>
        <w:jc w:val="both"/>
        <w:rPr>
          <w:rFonts w:eastAsiaTheme="minorHAnsi" w:cs="Arial"/>
          <w:szCs w:val="22"/>
          <w:lang w:val="sl-SI" w:eastAsia="en-US"/>
        </w:rPr>
      </w:pPr>
      <w:r w:rsidRPr="0024287F">
        <w:rPr>
          <w:rFonts w:eastAsiaTheme="minorHAnsi" w:cs="Arial"/>
          <w:szCs w:val="22"/>
          <w:lang w:val="sl-SI" w:eastAsia="en-US"/>
        </w:rPr>
        <w:t>Če voda ostane v ceveh daljše obdobje, lahko snovi iz cevi prehajajo in vplivajo na sestavo vode. To lahko predstavlja težavo npr. za šole v času počitnic, pa tudi za konec tedna. Posebna pozornost je zato namenjena temu, da se voda pred prvo uporabo iztoči, dokler ne postane prijetno hladna. Tako smo lahko brez skrbi, da v pipah ni več postane vode.</w:t>
      </w:r>
    </w:p>
    <w:p w:rsidR="00B637A9" w:rsidRPr="0024287F" w:rsidRDefault="00B637A9" w:rsidP="00B637A9">
      <w:pPr>
        <w:rPr>
          <w:rFonts w:eastAsiaTheme="minorHAnsi" w:cs="Arial"/>
          <w:b/>
          <w:sz w:val="18"/>
          <w:szCs w:val="18"/>
          <w:lang w:val="sl-SI" w:eastAsia="en-US"/>
        </w:rPr>
      </w:pPr>
      <w:r w:rsidRPr="0024287F">
        <w:rPr>
          <w:rFonts w:eastAsiaTheme="minorHAnsi" w:cs="Arial"/>
          <w:b/>
          <w:sz w:val="18"/>
          <w:szCs w:val="18"/>
          <w:lang w:val="sl-SI" w:eastAsia="en-US"/>
        </w:rPr>
        <w:t xml:space="preserve">Viri: </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Report on Quality of Drinking Water in the EU, </w:t>
      </w:r>
      <w:hyperlink r:id="rId21" w:history="1">
        <w:r w:rsidRPr="0024287F">
          <w:rPr>
            <w:rFonts w:eastAsiaTheme="minorHAnsi" w:cs="Arial"/>
            <w:sz w:val="18"/>
            <w:szCs w:val="18"/>
            <w:lang w:val="sl-SI" w:eastAsia="en-US"/>
          </w:rPr>
          <w:t>http://ec.europa.eu/environment/water/water-drink/pdf/reports/EN.pdf</w:t>
        </w:r>
      </w:hyperlink>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Österreichischer Trinkwasserbericht, </w:t>
      </w:r>
      <w:hyperlink r:id="rId22" w:history="1">
        <w:r w:rsidRPr="0024287F">
          <w:rPr>
            <w:rFonts w:eastAsiaTheme="minorHAnsi" w:cs="Arial"/>
            <w:sz w:val="18"/>
            <w:szCs w:val="18"/>
            <w:lang w:val="sl-SI" w:eastAsia="en-US"/>
          </w:rPr>
          <w:t>https://www.sozialministerium.at/cms/site/attachments/2/3/7/CH4111/CMS1069238654727/trinkwasserbericht_20150318.pdf</w:t>
        </w:r>
      </w:hyperlink>
      <w:r w:rsidRPr="0024287F">
        <w:rPr>
          <w:rFonts w:eastAsiaTheme="minorHAnsi" w:cs="Arial"/>
          <w:sz w:val="18"/>
          <w:szCs w:val="18"/>
          <w:lang w:val="sl-SI" w:eastAsia="en-US"/>
        </w:rPr>
        <w:t xml:space="preserve"> [abgerufen am 8.1.2019].</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Infoportal Trinkwasser https://www.trinkwasserinfo.at/. With current information on drinking water quality from the Austrian water suppliers.</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Trinkwasserverordnung, </w:t>
      </w:r>
      <w:hyperlink r:id="rId23" w:history="1">
        <w:r w:rsidRPr="0024287F">
          <w:rPr>
            <w:rFonts w:eastAsiaTheme="minorHAnsi" w:cs="Arial"/>
            <w:sz w:val="18"/>
            <w:szCs w:val="18"/>
            <w:lang w:val="sl-SI" w:eastAsia="en-US"/>
          </w:rPr>
          <w:t>https://www.ris.bka.gv.at/GeltendeFassung.wxe?Abfrage=Bundesnormen&amp;Gesetzesnummer=20001483</w:t>
        </w:r>
      </w:hyperlink>
      <w:r w:rsidRPr="0024287F">
        <w:rPr>
          <w:rFonts w:eastAsiaTheme="minorHAnsi" w:cs="Arial"/>
          <w:sz w:val="18"/>
          <w:szCs w:val="18"/>
          <w:lang w:val="sl-SI" w:eastAsia="en-US"/>
        </w:rPr>
        <w:t xml:space="preserve"> [abgerufen am 8.1.2019].</w:t>
      </w:r>
    </w:p>
    <w:p w:rsidR="00B637A9" w:rsidRPr="0024287F" w:rsidRDefault="00B637A9" w:rsidP="00B637A9">
      <w:pPr>
        <w:rPr>
          <w:rFonts w:eastAsiaTheme="minorHAnsi" w:cs="Arial"/>
          <w:sz w:val="18"/>
          <w:szCs w:val="18"/>
          <w:lang w:val="sl-SI" w:eastAsia="en-US"/>
        </w:rPr>
      </w:pPr>
      <w:r w:rsidRPr="0024287F">
        <w:rPr>
          <w:rFonts w:eastAsiaTheme="minorHAnsi" w:cs="Arial"/>
          <w:sz w:val="18"/>
          <w:szCs w:val="18"/>
          <w:lang w:val="sl-SI" w:eastAsia="en-US"/>
        </w:rPr>
        <w:t xml:space="preserve">Hygieneplan für Österreichische Schulen, </w:t>
      </w:r>
      <w:hyperlink r:id="rId24" w:history="1">
        <w:r w:rsidRPr="0024287F">
          <w:rPr>
            <w:rFonts w:eastAsiaTheme="minorHAnsi" w:cs="Arial"/>
            <w:sz w:val="18"/>
            <w:szCs w:val="18"/>
            <w:lang w:val="sl-SI" w:eastAsia="en-US"/>
          </w:rPr>
          <w:t>https://bildung.bmbwf.gv.at/schulen/unterricht/hygieneplan.pdf?61ed8y</w:t>
        </w:r>
      </w:hyperlink>
      <w:r w:rsidRPr="0024287F">
        <w:rPr>
          <w:rFonts w:eastAsiaTheme="minorHAnsi" w:cs="Arial"/>
          <w:sz w:val="18"/>
          <w:szCs w:val="18"/>
          <w:lang w:val="sl-SI" w:eastAsia="en-US"/>
        </w:rPr>
        <w:t xml:space="preserve"> [abgerufen am 8.1.2019].</w:t>
      </w:r>
    </w:p>
    <w:p w:rsidR="00B637A9" w:rsidRPr="0024287F" w:rsidRDefault="00B637A9" w:rsidP="00B637A9">
      <w:pPr>
        <w:spacing w:after="160" w:line="259" w:lineRule="auto"/>
        <w:rPr>
          <w:rFonts w:eastAsiaTheme="minorHAnsi" w:cs="Arial"/>
          <w:i/>
          <w:szCs w:val="22"/>
          <w:lang w:val="sl-SI" w:eastAsia="en-US"/>
        </w:rPr>
      </w:pPr>
    </w:p>
    <w:p w:rsidR="00B637A9" w:rsidRPr="0024287F" w:rsidRDefault="00B637A9" w:rsidP="00B637A9">
      <w:pPr>
        <w:spacing w:line="259" w:lineRule="auto"/>
        <w:rPr>
          <w:rFonts w:cs="Arial"/>
          <w:b/>
          <w:bCs/>
          <w:color w:val="00B0F0"/>
          <w:sz w:val="32"/>
          <w:szCs w:val="32"/>
          <w:lang w:val="sl-SI"/>
        </w:rPr>
      </w:pPr>
      <w:r w:rsidRPr="0024287F">
        <w:rPr>
          <w:rFonts w:cs="Arial"/>
          <w:b/>
          <w:bCs/>
          <w:color w:val="00B0F0"/>
          <w:sz w:val="32"/>
          <w:szCs w:val="32"/>
          <w:lang w:val="sl-SI"/>
        </w:rPr>
        <w:t xml:space="preserve">Zakonske zahteve in omejitve glede pitja v šolah </w:t>
      </w:r>
    </w:p>
    <w:p w:rsidR="00B637A9" w:rsidRPr="0024287F" w:rsidRDefault="00B637A9" w:rsidP="00B63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lang w:val="sl-SI" w:eastAsia="en-US"/>
        </w:rPr>
      </w:pPr>
    </w:p>
    <w:p w:rsidR="00B637A9" w:rsidRPr="0024287F" w:rsidRDefault="00B637A9" w:rsidP="00B637A9">
      <w:pPr>
        <w:spacing w:after="160" w:line="259" w:lineRule="auto"/>
        <w:rPr>
          <w:rFonts w:eastAsiaTheme="minorHAnsi" w:cs="Arial"/>
          <w:szCs w:val="22"/>
          <w:lang w:val="sl-SI" w:eastAsia="en-US"/>
        </w:rPr>
      </w:pPr>
      <w:r w:rsidRPr="0024287F">
        <w:rPr>
          <w:rFonts w:eastAsiaTheme="minorHAnsi" w:cs="Arial"/>
          <w:szCs w:val="22"/>
          <w:lang w:val="sl-SI" w:eastAsia="en-US"/>
        </w:rPr>
        <w:t xml:space="preserve">Od septembra 2019, vsebnost sladkorja v pijačah, ki se prodajajo v šolah ne bo smela presegati 6,7g/100 ml. </w:t>
      </w:r>
    </w:p>
    <w:p w:rsidR="005F5FB0" w:rsidRPr="0024287F" w:rsidRDefault="00B637A9" w:rsidP="00B637A9">
      <w:pPr>
        <w:rPr>
          <w:rStyle w:val="Naslov1Znak"/>
          <w:lang w:val="sl-SI"/>
        </w:rPr>
      </w:pPr>
      <w:r w:rsidRPr="0024287F">
        <w:rPr>
          <w:rFonts w:cs="Arial"/>
          <w:b/>
          <w:bCs/>
          <w:color w:val="09AEE9"/>
          <w:sz w:val="48"/>
          <w:szCs w:val="48"/>
          <w:lang w:val="sl-SI"/>
        </w:rPr>
        <w:br w:type="page"/>
      </w:r>
      <w:r w:rsidRPr="0024287F">
        <w:rPr>
          <w:rStyle w:val="Naslov1Znak"/>
          <w:lang w:val="sl-SI"/>
        </w:rPr>
        <w:lastRenderedPageBreak/>
        <w:t>Bo</w:t>
      </w:r>
      <w:r w:rsidR="72EBD522" w:rsidRPr="0024287F">
        <w:rPr>
          <w:rStyle w:val="Naslov1Znak"/>
          <w:lang w:val="sl-SI"/>
        </w:rPr>
        <w:t>lgari</w:t>
      </w:r>
      <w:r w:rsidRPr="0024287F">
        <w:rPr>
          <w:rStyle w:val="Naslov1Znak"/>
          <w:lang w:val="sl-SI"/>
        </w:rPr>
        <w:t>j</w:t>
      </w:r>
      <w:r w:rsidR="72EBD522" w:rsidRPr="0024287F">
        <w:rPr>
          <w:rStyle w:val="Naslov1Znak"/>
          <w:lang w:val="sl-SI"/>
        </w:rPr>
        <w:t>a</w:t>
      </w:r>
    </w:p>
    <w:p w:rsidR="005F5FB0" w:rsidRPr="0024287F" w:rsidRDefault="005F5FB0" w:rsidP="005F5FB0">
      <w:pPr>
        <w:spacing w:line="259" w:lineRule="auto"/>
        <w:rPr>
          <w:rFonts w:cs="Arial"/>
          <w:b/>
          <w:bCs/>
          <w:color w:val="09AEE9"/>
          <w:szCs w:val="22"/>
          <w:lang w:val="sl-SI"/>
        </w:rPr>
      </w:pPr>
    </w:p>
    <w:p w:rsidR="00B637A9" w:rsidRPr="0024287F" w:rsidRDefault="00B637A9" w:rsidP="00B637A9">
      <w:pPr>
        <w:spacing w:line="259" w:lineRule="auto"/>
        <w:rPr>
          <w:rFonts w:cs="Arial"/>
          <w:b/>
          <w:bCs/>
          <w:color w:val="00B0F0"/>
          <w:sz w:val="32"/>
          <w:szCs w:val="32"/>
          <w:lang w:val="sl-SI"/>
        </w:rPr>
      </w:pPr>
      <w:r w:rsidRPr="0024287F">
        <w:rPr>
          <w:rFonts w:cs="Arial"/>
          <w:b/>
          <w:bCs/>
          <w:color w:val="00B0F0"/>
          <w:sz w:val="32"/>
          <w:szCs w:val="32"/>
          <w:lang w:val="sl-SI"/>
        </w:rPr>
        <w:t xml:space="preserve">Navade pri uživanju pijač pri otrocih in mladostnikih </w:t>
      </w:r>
    </w:p>
    <w:p w:rsidR="00B637A9" w:rsidRPr="0024287F" w:rsidRDefault="00B637A9" w:rsidP="00B637A9">
      <w:pPr>
        <w:jc w:val="both"/>
        <w:rPr>
          <w:rFonts w:eastAsia="Arial Narrow" w:cs="Arial"/>
          <w:szCs w:val="22"/>
          <w:lang w:val="sl-SI"/>
        </w:rPr>
      </w:pPr>
      <w:r w:rsidRPr="0024287F">
        <w:rPr>
          <w:rFonts w:eastAsia="Arial Narrow" w:cs="Arial"/>
          <w:szCs w:val="22"/>
          <w:lang w:val="sl-SI"/>
        </w:rPr>
        <w:t xml:space="preserve">V primerjavi z odraslim človekom, otrokovo telo vsebuje več vode, hkrati pa ima otrok tudi večjo telesno površino glede na težo. Zato pri otrocih voda lažje izhlapeva in so bolj dovzetni za dehidracijo, če ne pijejo dovolj. Priporočena količina vode je odvisna od starosti, spola, velikosti otroka, prehrane, telesne aktivnosti, zdravstvenega stanja, zunanje temperature itd. Zadosten vnos vode in primerna prehrana sta še posebej pomembni za otroke. Ravnotežje med vodo in soljo v telesu je zelo občutljivo, odvisno od mehanizma termoregulacije, od razvitosti sistema izločal itd. Različne študije, ki so raziskovale vnos tekočine pri šolskih otrocih, kažejo, da ne spijejo dovolj vode, raje imajo sladkane in gazirane pijače. Veliko staršev še vedno misli, da sadni, zelenjavni sokovi ali mleko lahko nadomestijo vodo. Čeprav so zdravi, ne vnesejo toliko vode, kot jo potrebuje občutljiv otroški organizem. Osiromašena prehrana in dehidracija povečujeta tveganje za sladkorno bolezen ter za bolezni srca in oživlja, kar je zaskrbljujoče, saj je v Bolgariji visok odstotek otrok med 3 - 17 let prekomerno težkih. </w:t>
      </w:r>
    </w:p>
    <w:p w:rsidR="00B637A9" w:rsidRPr="0024287F" w:rsidRDefault="00B637A9" w:rsidP="00B637A9">
      <w:pPr>
        <w:jc w:val="both"/>
        <w:rPr>
          <w:rFonts w:cs="Arial"/>
          <w:b/>
          <w:bCs/>
          <w:sz w:val="28"/>
          <w:szCs w:val="28"/>
          <w:lang w:val="sl-SI"/>
        </w:rPr>
      </w:pPr>
      <w:r w:rsidRPr="0024287F">
        <w:rPr>
          <w:rFonts w:eastAsia="Arial Narrow" w:cs="Arial"/>
          <w:szCs w:val="22"/>
          <w:lang w:val="sl-SI"/>
        </w:rPr>
        <w:t xml:space="preserve"> </w:t>
      </w:r>
    </w:p>
    <w:p w:rsidR="00B637A9" w:rsidRPr="0024287F" w:rsidRDefault="00B637A9" w:rsidP="00B637A9">
      <w:pPr>
        <w:spacing w:line="259" w:lineRule="auto"/>
        <w:rPr>
          <w:rFonts w:cs="Arial"/>
          <w:b/>
          <w:bCs/>
          <w:color w:val="00B0F0"/>
          <w:sz w:val="32"/>
          <w:szCs w:val="32"/>
          <w:lang w:val="sl-SI"/>
        </w:rPr>
      </w:pPr>
      <w:r w:rsidRPr="0024287F">
        <w:rPr>
          <w:rFonts w:cs="Arial"/>
          <w:b/>
          <w:bCs/>
          <w:color w:val="00B0F0"/>
          <w:sz w:val="32"/>
          <w:szCs w:val="32"/>
          <w:lang w:val="sl-SI"/>
        </w:rPr>
        <w:t xml:space="preserve">Stopnja debelosti, prekomerne telesne teže in kariesa med otroci/mladino </w:t>
      </w:r>
    </w:p>
    <w:p w:rsidR="00B637A9" w:rsidRPr="0024287F" w:rsidRDefault="00B637A9" w:rsidP="00B637A9">
      <w:pPr>
        <w:jc w:val="both"/>
        <w:rPr>
          <w:rFonts w:eastAsia="Arial Narrow" w:cs="Arial"/>
          <w:szCs w:val="22"/>
          <w:lang w:val="sl-SI"/>
        </w:rPr>
      </w:pPr>
      <w:r w:rsidRPr="0024287F">
        <w:rPr>
          <w:rFonts w:eastAsia="Arial Narrow" w:cs="Arial"/>
          <w:szCs w:val="22"/>
          <w:lang w:val="sl-SI"/>
        </w:rPr>
        <w:t xml:space="preserve">Zdrava prehrana otrok in mladostnikov spada tudi v Bolgariji med prioritetne naloge države. Prehrana in telesna aktivnost sta determinanti zdravja in zagotovilo za optimalno rast in razvoj otrok in mladine. Ravno v tem obdobju se oblikujejo življenjske navade.  </w:t>
      </w:r>
    </w:p>
    <w:p w:rsidR="00B637A9" w:rsidRPr="0024287F" w:rsidRDefault="00B637A9" w:rsidP="00B637A9">
      <w:pPr>
        <w:jc w:val="both"/>
        <w:rPr>
          <w:rFonts w:eastAsia="Arial Narrow" w:cs="Arial"/>
          <w:szCs w:val="22"/>
          <w:lang w:val="sl-SI"/>
        </w:rPr>
      </w:pPr>
      <w:r w:rsidRPr="0024287F">
        <w:rPr>
          <w:rFonts w:eastAsia="Arial Narrow" w:cs="Arial"/>
          <w:szCs w:val="22"/>
          <w:lang w:val="sl-SI"/>
        </w:rPr>
        <w:t xml:space="preserve">Pregled stanja v državi med učenci starimi od 6 - 19  let med 2010 - 2011 kaže, da je bila prevalenca prekomerne telesne teže 30,2 odstotka, debelosti pa 12,7 odstotka. Zaskrbljujoče je, da trend debelosti med bolgarskimi otroci narašča. Zmanjšanje debelosti pri otrocih je v zadnjih letih ključna naloga v vseh prehranskih in zdravstvenih strategijah EU in SZO. </w:t>
      </w:r>
    </w:p>
    <w:p w:rsidR="00B637A9" w:rsidRPr="0024287F" w:rsidRDefault="00B637A9" w:rsidP="00B637A9">
      <w:pPr>
        <w:jc w:val="both"/>
        <w:rPr>
          <w:rFonts w:eastAsia="Arial Narrow" w:cs="Arial"/>
          <w:szCs w:val="22"/>
          <w:lang w:val="sl-SI"/>
        </w:rPr>
      </w:pPr>
      <w:r w:rsidRPr="0024287F">
        <w:rPr>
          <w:rFonts w:eastAsia="Arial Narrow" w:cs="Arial"/>
          <w:szCs w:val="22"/>
          <w:lang w:val="sl-SI"/>
        </w:rPr>
        <w:t xml:space="preserve">Po statističnih podatkih iz konca leta 2018 je Bolgarija ena od EU držav (skupaj z Grčijo, Češko in Združenim kraljestvom), kjer se debelost pogosto pojavlja že v zgodnjem otroštvu.  </w:t>
      </w:r>
    </w:p>
    <w:p w:rsidR="00B637A9" w:rsidRPr="0024287F" w:rsidRDefault="00B637A9" w:rsidP="00B637A9">
      <w:pPr>
        <w:jc w:val="both"/>
        <w:rPr>
          <w:rFonts w:eastAsia="Arial Narrow" w:cs="Arial"/>
          <w:szCs w:val="22"/>
          <w:lang w:val="sl-SI"/>
        </w:rPr>
      </w:pPr>
      <w:r w:rsidRPr="0024287F">
        <w:rPr>
          <w:rFonts w:eastAsia="Arial Narrow" w:cs="Arial"/>
          <w:szCs w:val="22"/>
          <w:lang w:val="sl-SI"/>
        </w:rPr>
        <w:t xml:space="preserve">Leta 2015 je bolgarsko ministrstvo za zdravje objavilo nacionalni program za preventivo pred boleznimi ustne votline pri otrocih starih od 0 - 18 let. Predlagane so različne aktivnosti kot so fluoriranje in izobraževalni programi v šolah. Rezultati epidemiološke študije o oralnem zdravju otrok kažejo, da se karies pri bolgarskih otrocih pojavlja v večji meri kot v povprečju SZO. Delež otrok starih od 5 - 6 let, ki nimajo kariesa je le 28,87 odstotka. Z naraščanjem starosti se ta odstotek manjša. Pri 12 letih je delež otrok z zdravimi zobmi 21,31 odstotka pri 18 - letnikih pa le še 8.31 odstotka. Primerjava rezultatov je pokazala tudi večji delež otrok z zdravimi zobmi v mestih kot v na podeželju. </w:t>
      </w:r>
    </w:p>
    <w:p w:rsidR="00B637A9" w:rsidRPr="0024287F" w:rsidRDefault="00B637A9" w:rsidP="00B637A9">
      <w:pPr>
        <w:jc w:val="both"/>
        <w:rPr>
          <w:rFonts w:eastAsia="Arial Narrow" w:cs="Arial"/>
          <w:szCs w:val="22"/>
          <w:lang w:val="sl-SI"/>
        </w:rPr>
      </w:pPr>
      <w:r w:rsidRPr="0024287F">
        <w:rPr>
          <w:rFonts w:eastAsia="Arial Narrow" w:cs="Arial"/>
          <w:szCs w:val="22"/>
          <w:lang w:val="sl-SI"/>
        </w:rPr>
        <w:t xml:space="preserve">Izsladki zadnjih raziskav v Bolgariji kažejo povečano uživanje ustekleničenih mineralnih vod, kot tudi mineralnih vod iz javnih pitnikov , ki vsebujejo ve kot 1-1.5 mg fluora/ liter. Prost dostop do fluorirane vode je predpogoj za večje uživanje fluora pri otrocih do 7 let. </w:t>
      </w:r>
    </w:p>
    <w:p w:rsidR="00B637A9" w:rsidRPr="0024287F" w:rsidRDefault="00B637A9" w:rsidP="00B637A9">
      <w:pPr>
        <w:jc w:val="both"/>
        <w:rPr>
          <w:rFonts w:eastAsia="Arial Narrow" w:cs="Arial"/>
          <w:szCs w:val="22"/>
          <w:lang w:val="sl-SI"/>
        </w:rPr>
      </w:pPr>
    </w:p>
    <w:p w:rsidR="00B637A9" w:rsidRPr="0024287F" w:rsidRDefault="00B637A9" w:rsidP="00B637A9">
      <w:pPr>
        <w:jc w:val="both"/>
        <w:rPr>
          <w:rFonts w:cs="Arial"/>
          <w:b/>
          <w:bCs/>
          <w:sz w:val="18"/>
          <w:szCs w:val="18"/>
          <w:lang w:val="sl-SI"/>
        </w:rPr>
      </w:pPr>
      <w:r w:rsidRPr="0024287F">
        <w:rPr>
          <w:rFonts w:cs="Arial"/>
          <w:b/>
          <w:bCs/>
          <w:sz w:val="18"/>
          <w:szCs w:val="18"/>
          <w:lang w:val="sl-SI"/>
        </w:rPr>
        <w:t>Viri:</w:t>
      </w:r>
    </w:p>
    <w:p w:rsidR="00B637A9" w:rsidRPr="0024287F" w:rsidRDefault="00B637A9" w:rsidP="00B637A9">
      <w:pPr>
        <w:rPr>
          <w:rFonts w:cs="Arial"/>
          <w:bCs/>
          <w:sz w:val="18"/>
          <w:szCs w:val="18"/>
          <w:lang w:val="sl-SI"/>
        </w:rPr>
      </w:pPr>
      <w:r w:rsidRPr="0024287F">
        <w:rPr>
          <w:rFonts w:cs="Arial"/>
          <w:bCs/>
          <w:sz w:val="18"/>
          <w:szCs w:val="18"/>
          <w:lang w:val="sl-SI"/>
        </w:rPr>
        <w:t>1.National Programme for the Prevention of Oral Diseases in Children from 0 to 18 years of age in the Republic of Bulgaria 2015-2020</w:t>
      </w:r>
    </w:p>
    <w:p w:rsidR="00B637A9" w:rsidRPr="0024287F" w:rsidRDefault="00B637A9" w:rsidP="00B637A9">
      <w:pPr>
        <w:rPr>
          <w:rFonts w:cs="Arial"/>
          <w:bCs/>
          <w:sz w:val="18"/>
          <w:szCs w:val="18"/>
          <w:lang w:val="sl-SI"/>
        </w:rPr>
      </w:pPr>
      <w:r w:rsidRPr="0024287F">
        <w:rPr>
          <w:rFonts w:cs="Arial"/>
          <w:bCs/>
          <w:sz w:val="18"/>
          <w:szCs w:val="18"/>
          <w:lang w:val="sl-SI"/>
        </w:rPr>
        <w:t xml:space="preserve">2.Dimova, A. et.al. 2018. Bulgaria. Health system review, Health Systems in Transition, Vol. 20 No. 4 2018,p. 166 </w:t>
      </w:r>
    </w:p>
    <w:p w:rsidR="00B637A9" w:rsidRPr="0024287F" w:rsidRDefault="00B637A9" w:rsidP="00B637A9">
      <w:pPr>
        <w:rPr>
          <w:rFonts w:cs="Arial"/>
          <w:bCs/>
          <w:sz w:val="18"/>
          <w:szCs w:val="18"/>
          <w:lang w:val="sl-SI"/>
        </w:rPr>
      </w:pPr>
      <w:r w:rsidRPr="0024287F">
        <w:rPr>
          <w:rFonts w:cs="Arial"/>
          <w:bCs/>
          <w:sz w:val="18"/>
          <w:szCs w:val="18"/>
          <w:lang w:val="sl-SI"/>
        </w:rPr>
        <w:t>3.National epidemiologic study for the oral health status establishment in three age groups of children in Bulgaria, report, Dec. 2011: 3-5. [in Bulgaran]</w:t>
      </w:r>
    </w:p>
    <w:p w:rsidR="00B637A9" w:rsidRPr="0024287F" w:rsidRDefault="00B637A9" w:rsidP="00B637A9">
      <w:pPr>
        <w:jc w:val="both"/>
        <w:rPr>
          <w:rFonts w:cs="Arial"/>
          <w:b/>
          <w:bCs/>
          <w:sz w:val="28"/>
          <w:szCs w:val="28"/>
          <w:lang w:val="sl-SI"/>
        </w:rPr>
      </w:pPr>
    </w:p>
    <w:p w:rsidR="0024287F" w:rsidRDefault="0024287F" w:rsidP="00B637A9">
      <w:pPr>
        <w:spacing w:line="259" w:lineRule="auto"/>
        <w:rPr>
          <w:rFonts w:cs="Arial"/>
          <w:b/>
          <w:bCs/>
          <w:color w:val="00B0F0"/>
          <w:sz w:val="28"/>
          <w:szCs w:val="28"/>
          <w:lang w:val="sl-SI"/>
        </w:rPr>
      </w:pPr>
    </w:p>
    <w:p w:rsidR="0024287F" w:rsidRDefault="0024287F" w:rsidP="00B637A9">
      <w:pPr>
        <w:spacing w:line="259" w:lineRule="auto"/>
        <w:rPr>
          <w:rFonts w:cs="Arial"/>
          <w:b/>
          <w:bCs/>
          <w:color w:val="00B0F0"/>
          <w:sz w:val="28"/>
          <w:szCs w:val="28"/>
          <w:lang w:val="sl-SI"/>
        </w:rPr>
      </w:pPr>
    </w:p>
    <w:p w:rsidR="0024287F" w:rsidRDefault="0024287F" w:rsidP="00B637A9">
      <w:pPr>
        <w:spacing w:line="259" w:lineRule="auto"/>
        <w:rPr>
          <w:rFonts w:cs="Arial"/>
          <w:b/>
          <w:bCs/>
          <w:color w:val="00B0F0"/>
          <w:sz w:val="28"/>
          <w:szCs w:val="28"/>
          <w:lang w:val="sl-SI"/>
        </w:rPr>
      </w:pPr>
    </w:p>
    <w:p w:rsidR="0024287F" w:rsidRDefault="0024287F" w:rsidP="00B637A9">
      <w:pPr>
        <w:spacing w:line="259" w:lineRule="auto"/>
        <w:rPr>
          <w:rFonts w:cs="Arial"/>
          <w:b/>
          <w:bCs/>
          <w:color w:val="00B0F0"/>
          <w:sz w:val="28"/>
          <w:szCs w:val="28"/>
          <w:lang w:val="sl-SI"/>
        </w:rPr>
      </w:pPr>
    </w:p>
    <w:p w:rsidR="00B637A9" w:rsidRPr="0024287F" w:rsidRDefault="00B637A9" w:rsidP="00B637A9">
      <w:pPr>
        <w:spacing w:line="259" w:lineRule="auto"/>
        <w:rPr>
          <w:rFonts w:cs="Arial"/>
          <w:b/>
          <w:bCs/>
          <w:color w:val="00B0F0"/>
          <w:sz w:val="28"/>
          <w:szCs w:val="28"/>
          <w:lang w:val="sl-SI"/>
        </w:rPr>
      </w:pPr>
      <w:r w:rsidRPr="0024287F">
        <w:rPr>
          <w:rFonts w:cs="Arial"/>
          <w:b/>
          <w:bCs/>
          <w:color w:val="00B0F0"/>
          <w:sz w:val="28"/>
          <w:szCs w:val="28"/>
          <w:lang w:val="sl-SI"/>
        </w:rPr>
        <w:lastRenderedPageBreak/>
        <w:t xml:space="preserve">Dostop do čiste pitne vode  </w:t>
      </w:r>
    </w:p>
    <w:p w:rsidR="00B637A9" w:rsidRPr="0024287F" w:rsidRDefault="00B637A9" w:rsidP="00B637A9">
      <w:pPr>
        <w:jc w:val="both"/>
        <w:rPr>
          <w:rFonts w:eastAsiaTheme="minorHAnsi" w:cs="Arial"/>
          <w:b/>
          <w:szCs w:val="22"/>
          <w:lang w:val="sl-SI" w:eastAsia="en-US"/>
        </w:rPr>
      </w:pPr>
    </w:p>
    <w:p w:rsidR="00B637A9" w:rsidRPr="0024287F" w:rsidRDefault="00B637A9" w:rsidP="00B637A9">
      <w:pPr>
        <w:jc w:val="both"/>
        <w:rPr>
          <w:rFonts w:eastAsiaTheme="minorHAnsi" w:cs="Arial"/>
          <w:b/>
          <w:szCs w:val="22"/>
          <w:lang w:val="sl-SI" w:eastAsia="en-US"/>
        </w:rPr>
      </w:pPr>
      <w:r w:rsidRPr="0024287F">
        <w:rPr>
          <w:rFonts w:eastAsiaTheme="minorHAnsi" w:cs="Arial"/>
          <w:b/>
          <w:szCs w:val="22"/>
          <w:lang w:val="sl-SI" w:eastAsia="en-US"/>
        </w:rPr>
        <w:t>Viri pitne vode:</w:t>
      </w:r>
    </w:p>
    <w:p w:rsidR="00B637A9" w:rsidRPr="0024287F" w:rsidRDefault="00B637A9" w:rsidP="00B637A9">
      <w:pPr>
        <w:jc w:val="both"/>
        <w:rPr>
          <w:rFonts w:eastAsiaTheme="minorHAnsi" w:cs="Arial"/>
          <w:szCs w:val="22"/>
          <w:lang w:val="sl-SI" w:eastAsia="en-US"/>
        </w:rPr>
      </w:pPr>
      <w:r w:rsidRPr="0024287F">
        <w:rPr>
          <w:rFonts w:eastAsiaTheme="minorHAnsi" w:cs="Arial"/>
          <w:szCs w:val="22"/>
          <w:lang w:val="sl-SI" w:eastAsia="en-US"/>
        </w:rPr>
        <w:t xml:space="preserve">V primerjavi z ostalimi evropskimi državami </w:t>
      </w:r>
      <w:r w:rsidR="0024287F">
        <w:rPr>
          <w:rFonts w:eastAsiaTheme="minorHAnsi" w:cs="Arial"/>
          <w:szCs w:val="22"/>
          <w:lang w:val="sl-SI" w:eastAsia="en-US"/>
        </w:rPr>
        <w:t>ima B</w:t>
      </w:r>
      <w:r w:rsidRPr="0024287F">
        <w:rPr>
          <w:rFonts w:eastAsiaTheme="minorHAnsi" w:cs="Arial"/>
          <w:szCs w:val="22"/>
          <w:lang w:val="sl-SI" w:eastAsia="en-US"/>
        </w:rPr>
        <w:t>o</w:t>
      </w:r>
      <w:r w:rsidR="0024287F">
        <w:rPr>
          <w:rFonts w:eastAsiaTheme="minorHAnsi" w:cs="Arial"/>
          <w:szCs w:val="22"/>
          <w:lang w:val="sl-SI" w:eastAsia="en-US"/>
        </w:rPr>
        <w:t>l</w:t>
      </w:r>
      <w:r w:rsidRPr="0024287F">
        <w:rPr>
          <w:rFonts w:eastAsiaTheme="minorHAnsi" w:cs="Arial"/>
          <w:szCs w:val="22"/>
          <w:lang w:val="sl-SI" w:eastAsia="en-US"/>
        </w:rPr>
        <w:t xml:space="preserve">garija znatne vodne rezerve, v absolutnem pomenu </w:t>
      </w:r>
      <w:r w:rsidR="0024287F">
        <w:rPr>
          <w:rFonts w:eastAsiaTheme="minorHAnsi" w:cs="Arial"/>
          <w:szCs w:val="22"/>
          <w:lang w:val="sl-SI" w:eastAsia="en-US"/>
        </w:rPr>
        <w:t>in na prebivalca. Po podatkih Ev</w:t>
      </w:r>
      <w:r w:rsidRPr="0024287F">
        <w:rPr>
          <w:rFonts w:eastAsiaTheme="minorHAnsi" w:cs="Arial"/>
          <w:szCs w:val="22"/>
          <w:lang w:val="sl-SI" w:eastAsia="en-US"/>
        </w:rPr>
        <w:t xml:space="preserve">rostat - a je Bolgarija v svetovnem merilu na 52 mestu na svetu po dostopnosti do pitne vode (99,33 odstotka). </w:t>
      </w:r>
    </w:p>
    <w:p w:rsidR="00B637A9" w:rsidRPr="0024287F" w:rsidRDefault="0024287F" w:rsidP="00B637A9">
      <w:pPr>
        <w:jc w:val="both"/>
        <w:rPr>
          <w:rFonts w:eastAsiaTheme="minorHAnsi" w:cs="Arial"/>
          <w:szCs w:val="22"/>
          <w:lang w:val="sl-SI" w:eastAsia="en-US"/>
        </w:rPr>
      </w:pPr>
      <w:r>
        <w:rPr>
          <w:rFonts w:eastAsiaTheme="minorHAnsi" w:cs="Arial"/>
          <w:szCs w:val="22"/>
          <w:lang w:val="sl-SI" w:eastAsia="en-US"/>
        </w:rPr>
        <w:t>Vodne zaloge v Bolgariji</w:t>
      </w:r>
      <w:r w:rsidR="00B637A9" w:rsidRPr="0024287F">
        <w:rPr>
          <w:rFonts w:eastAsiaTheme="minorHAnsi" w:cs="Arial"/>
          <w:szCs w:val="22"/>
          <w:lang w:val="sl-SI" w:eastAsia="en-US"/>
        </w:rPr>
        <w:t xml:space="preserve"> večinoma tvorijo zunanji prilivi vode, ki je tudi neenakomerno razporejena po državi. Analiza porabe vode in vodnih virov kaže, da Bolgarija ni vodno ogrožena država.</w:t>
      </w:r>
    </w:p>
    <w:p w:rsidR="00B637A9" w:rsidRPr="0024287F" w:rsidRDefault="00B637A9" w:rsidP="00B637A9">
      <w:pPr>
        <w:jc w:val="both"/>
        <w:rPr>
          <w:rFonts w:eastAsiaTheme="minorHAnsi" w:cs="Arial"/>
          <w:szCs w:val="22"/>
          <w:lang w:val="sl-SI" w:eastAsia="en-US"/>
        </w:rPr>
      </w:pPr>
    </w:p>
    <w:p w:rsidR="00B637A9" w:rsidRPr="0024287F" w:rsidRDefault="00B637A9" w:rsidP="00B637A9">
      <w:pPr>
        <w:jc w:val="both"/>
        <w:rPr>
          <w:rFonts w:eastAsiaTheme="minorHAnsi" w:cs="Arial"/>
          <w:szCs w:val="22"/>
          <w:lang w:val="sl-SI" w:eastAsia="en-US"/>
        </w:rPr>
      </w:pPr>
      <w:r w:rsidRPr="0024287F">
        <w:rPr>
          <w:rFonts w:eastAsiaTheme="minorHAnsi" w:cs="Arial"/>
          <w:szCs w:val="22"/>
          <w:lang w:val="sl-SI" w:eastAsia="en-US"/>
        </w:rPr>
        <w:t xml:space="preserve">Glavni vir oskrbe s pitno vodo so površinske vode (71%). Površinske vode predstavljajo 52% vse pridobljene vode, ostalih 48% pa ja talna voda.  Ta je v vseh rečnih bazenih dobre kvalitete, navkljub onesnaženosti z nitrati. </w:t>
      </w:r>
    </w:p>
    <w:p w:rsidR="00B637A9" w:rsidRPr="0024287F" w:rsidRDefault="00B637A9" w:rsidP="00B637A9">
      <w:pPr>
        <w:jc w:val="both"/>
        <w:rPr>
          <w:rFonts w:eastAsiaTheme="minorHAnsi" w:cs="Arial"/>
          <w:szCs w:val="22"/>
          <w:lang w:val="sl-SI" w:eastAsia="en-US"/>
        </w:rPr>
      </w:pPr>
      <w:r w:rsidRPr="0024287F">
        <w:rPr>
          <w:rFonts w:eastAsiaTheme="minorHAnsi" w:cs="Arial"/>
          <w:szCs w:val="22"/>
          <w:lang w:val="sl-SI" w:eastAsia="en-US"/>
        </w:rPr>
        <w:t>79% površinske vode se uporablja za javno oskrbo z vodo, 17% za industrijo, 2% za kmetijstvo, gozdarstvo in ribištvo, 2% pa za storitve. Preostanek se uporablja za namakanje. Površinsko vodo je onesnažuje voda iz gospodinjstev, odplak in neočiščena industrijska odpadna voda, ki jo spuščajo v reke. (MoEW, 2014).</w:t>
      </w:r>
    </w:p>
    <w:p w:rsidR="00B637A9" w:rsidRPr="0024287F" w:rsidRDefault="00B637A9" w:rsidP="00B637A9">
      <w:pPr>
        <w:ind w:left="4956" w:firstLine="708"/>
        <w:jc w:val="both"/>
        <w:rPr>
          <w:rFonts w:eastAsiaTheme="minorHAnsi" w:cs="Arial"/>
          <w:szCs w:val="22"/>
          <w:lang w:val="sl-SI" w:eastAsia="en-US"/>
        </w:rPr>
      </w:pPr>
      <w:r w:rsidRPr="0024287F">
        <w:rPr>
          <w:rFonts w:eastAsiaTheme="minorHAnsi" w:cs="Arial"/>
          <w:b/>
          <w:szCs w:val="22"/>
          <w:lang w:val="sl-SI" w:eastAsia="en-US"/>
        </w:rPr>
        <w:t>Viri pitne vode v Bolgariji</w:t>
      </w:r>
    </w:p>
    <w:p w:rsidR="00B637A9" w:rsidRPr="0024287F" w:rsidRDefault="00B637A9" w:rsidP="00B637A9">
      <w:pPr>
        <w:jc w:val="both"/>
        <w:rPr>
          <w:rFonts w:eastAsiaTheme="minorHAnsi" w:cs="Arial"/>
          <w:b/>
          <w:szCs w:val="22"/>
          <w:lang w:val="sl-SI" w:eastAsia="en-US"/>
        </w:rPr>
      </w:pPr>
      <w:r w:rsidRPr="0024287F">
        <w:rPr>
          <w:rFonts w:cs="Arial"/>
          <w:noProof/>
          <w:lang w:val="sl-SI" w:eastAsia="sl-SI"/>
        </w:rPr>
        <w:drawing>
          <wp:anchor distT="0" distB="0" distL="114300" distR="114300" simplePos="0" relativeHeight="251671552" behindDoc="0" locked="0" layoutInCell="1" allowOverlap="1">
            <wp:simplePos x="0" y="0"/>
            <wp:positionH relativeFrom="column">
              <wp:posOffset>2948305</wp:posOffset>
            </wp:positionH>
            <wp:positionV relativeFrom="paragraph">
              <wp:posOffset>78740</wp:posOffset>
            </wp:positionV>
            <wp:extent cx="3038475" cy="1699895"/>
            <wp:effectExtent l="0" t="0" r="9525" b="14605"/>
            <wp:wrapSquare wrapText="bothSides"/>
            <wp:docPr id="9" name="Diagramm 8">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a16="http://schemas.microsoft.com/office/drawing/2014/main" xmlns:dgm="http://schemas.openxmlformats.org/drawingml/2006/diagram" xmlns:c="http://schemas.openxmlformats.org/drawingml/2006/chart" xmlns:a14="http://schemas.microsoft.com/office/drawing/2010/main" xmlns:pic="http://schemas.openxmlformats.org/drawingml/2006/pictur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4BD875B-94BD-472A-87D4-A5C715DEA75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r w:rsidRPr="0024287F">
        <w:rPr>
          <w:rFonts w:eastAsiaTheme="minorHAnsi" w:cs="Arial"/>
          <w:b/>
          <w:szCs w:val="22"/>
          <w:lang w:val="sl-SI" w:eastAsia="en-US"/>
        </w:rPr>
        <w:t xml:space="preserve">Oskrba vrtcev in šol z varno pitno vodo </w:t>
      </w:r>
    </w:p>
    <w:p w:rsidR="00B637A9" w:rsidRPr="0024287F" w:rsidRDefault="00B637A9" w:rsidP="00B637A9">
      <w:pPr>
        <w:jc w:val="both"/>
        <w:rPr>
          <w:rFonts w:eastAsia="Calibri" w:cs="Arial"/>
          <w:szCs w:val="22"/>
          <w:lang w:val="sl-SI" w:eastAsia="en-US"/>
        </w:rPr>
      </w:pPr>
      <w:r w:rsidRPr="0024287F">
        <w:rPr>
          <w:rFonts w:eastAsia="Calibri" w:cs="Arial"/>
          <w:szCs w:val="22"/>
          <w:lang w:val="sl-SI" w:eastAsia="en-US"/>
        </w:rPr>
        <w:t xml:space="preserve">Večina vrtcev in šol ima dostop do varne pitne vode. Vendar je zelo razvita uporaba ustekleničene mineralne vode, ki jo priskrbi bodisi občina ali pa starši. Ena glavnih težav pri dostopu do kvalitetne pitne vode ni voda, pač pa zastarelo vodovodno omrežje v državi in enostaven dostop do javnih pitnikov.   </w:t>
      </w:r>
    </w:p>
    <w:p w:rsidR="00B637A9" w:rsidRPr="0024287F" w:rsidRDefault="00B637A9" w:rsidP="00B637A9">
      <w:pPr>
        <w:jc w:val="both"/>
        <w:rPr>
          <w:rFonts w:eastAsia="Calibri" w:cs="Arial"/>
          <w:b/>
          <w:szCs w:val="22"/>
          <w:lang w:val="sl-SI" w:eastAsia="en-US"/>
        </w:rPr>
      </w:pPr>
    </w:p>
    <w:p w:rsidR="00B637A9" w:rsidRPr="0024287F" w:rsidRDefault="00B637A9" w:rsidP="00B637A9">
      <w:pPr>
        <w:jc w:val="both"/>
        <w:rPr>
          <w:rFonts w:eastAsia="Calibri" w:cs="Arial"/>
          <w:b/>
          <w:szCs w:val="22"/>
          <w:lang w:val="sl-SI" w:eastAsia="en-US"/>
        </w:rPr>
      </w:pPr>
    </w:p>
    <w:p w:rsidR="00B637A9" w:rsidRPr="0024287F" w:rsidRDefault="00B637A9" w:rsidP="00B637A9">
      <w:pPr>
        <w:jc w:val="both"/>
        <w:rPr>
          <w:rFonts w:eastAsia="Calibri" w:cs="Arial"/>
          <w:b/>
          <w:sz w:val="18"/>
          <w:szCs w:val="18"/>
          <w:lang w:val="sl-SI" w:eastAsia="en-US"/>
        </w:rPr>
      </w:pPr>
      <w:r w:rsidRPr="0024287F">
        <w:rPr>
          <w:rFonts w:eastAsia="Calibri" w:cs="Arial"/>
          <w:b/>
          <w:sz w:val="18"/>
          <w:szCs w:val="18"/>
          <w:lang w:val="sl-SI" w:eastAsia="en-US"/>
        </w:rPr>
        <w:t xml:space="preserve">Viri: </w:t>
      </w:r>
    </w:p>
    <w:p w:rsidR="00B637A9" w:rsidRPr="0024287F" w:rsidRDefault="00B637A9" w:rsidP="00B637A9">
      <w:pPr>
        <w:numPr>
          <w:ilvl w:val="0"/>
          <w:numId w:val="30"/>
        </w:numPr>
        <w:ind w:left="360"/>
        <w:contextualSpacing/>
        <w:rPr>
          <w:rFonts w:eastAsia="Calibri" w:cs="Arial"/>
          <w:sz w:val="18"/>
          <w:szCs w:val="18"/>
          <w:lang w:val="sl-SI" w:eastAsia="en-US"/>
        </w:rPr>
      </w:pPr>
      <w:r w:rsidRPr="0024287F">
        <w:rPr>
          <w:rFonts w:eastAsia="Calibri" w:cs="Arial"/>
          <w:sz w:val="18"/>
          <w:szCs w:val="18"/>
          <w:lang w:val="sl-SI" w:eastAsia="en-US"/>
        </w:rPr>
        <w:t xml:space="preserve">Executive Environment Agency: </w:t>
      </w:r>
      <w:hyperlink r:id="rId26" w:history="1">
        <w:r w:rsidRPr="0024287F">
          <w:rPr>
            <w:rFonts w:eastAsia="Calibri" w:cs="Arial"/>
            <w:color w:val="0563C1"/>
            <w:sz w:val="18"/>
            <w:szCs w:val="18"/>
            <w:u w:val="single"/>
            <w:lang w:val="sl-SI" w:eastAsia="en-US"/>
          </w:rPr>
          <w:t>http://eea.government.bg/bg/soer/2011/water/water1</w:t>
        </w:r>
      </w:hyperlink>
    </w:p>
    <w:p w:rsidR="00B637A9" w:rsidRPr="0024287F" w:rsidRDefault="00B637A9" w:rsidP="00B637A9">
      <w:pPr>
        <w:numPr>
          <w:ilvl w:val="0"/>
          <w:numId w:val="30"/>
        </w:numPr>
        <w:ind w:left="360"/>
        <w:contextualSpacing/>
        <w:rPr>
          <w:rFonts w:eastAsia="Calibri" w:cs="Arial"/>
          <w:sz w:val="18"/>
          <w:szCs w:val="18"/>
          <w:lang w:val="sl-SI" w:eastAsia="en-US"/>
        </w:rPr>
      </w:pPr>
      <w:r w:rsidRPr="0024287F">
        <w:rPr>
          <w:rFonts w:eastAsia="Calibri" w:cs="Arial"/>
          <w:sz w:val="18"/>
          <w:szCs w:val="18"/>
          <w:lang w:val="sl-SI" w:eastAsia="en-US"/>
        </w:rPr>
        <w:t xml:space="preserve">Danube water program: </w:t>
      </w:r>
      <w:hyperlink r:id="rId27" w:history="1">
        <w:r w:rsidRPr="0024287F">
          <w:rPr>
            <w:rFonts w:eastAsia="Calibri" w:cs="Arial"/>
            <w:color w:val="0563C1"/>
            <w:sz w:val="18"/>
            <w:szCs w:val="18"/>
            <w:u w:val="single"/>
            <w:lang w:val="sl-SI" w:eastAsia="en-US"/>
          </w:rPr>
          <w:t>https://sos.danubis.org/eng/country-notes/bulgaria/</w:t>
        </w:r>
      </w:hyperlink>
      <w:r w:rsidRPr="0024287F">
        <w:rPr>
          <w:rFonts w:eastAsia="Calibri" w:cs="Arial"/>
          <w:sz w:val="18"/>
          <w:szCs w:val="18"/>
          <w:lang w:val="sl-SI" w:eastAsia="en-US"/>
        </w:rPr>
        <w:t xml:space="preserve"> </w:t>
      </w:r>
    </w:p>
    <w:p w:rsidR="00B637A9" w:rsidRPr="0024287F" w:rsidRDefault="00B637A9" w:rsidP="00B637A9">
      <w:pPr>
        <w:numPr>
          <w:ilvl w:val="0"/>
          <w:numId w:val="30"/>
        </w:numPr>
        <w:ind w:left="360"/>
        <w:contextualSpacing/>
        <w:rPr>
          <w:rFonts w:eastAsia="Calibri" w:cs="Arial"/>
          <w:sz w:val="18"/>
          <w:szCs w:val="18"/>
          <w:lang w:val="sl-SI" w:eastAsia="en-US"/>
        </w:rPr>
      </w:pPr>
      <w:r w:rsidRPr="0024287F">
        <w:rPr>
          <w:rFonts w:eastAsia="Calibri" w:cs="Arial"/>
          <w:sz w:val="18"/>
          <w:szCs w:val="18"/>
          <w:lang w:val="sl-SI" w:eastAsia="en-US"/>
        </w:rPr>
        <w:t>Valkova, K. et.al. 2018. Situational analysis on equitable access to water and sanitation in Bulgaria</w:t>
      </w:r>
    </w:p>
    <w:p w:rsidR="00B637A9" w:rsidRPr="0024287F" w:rsidRDefault="00B637A9" w:rsidP="00B637A9">
      <w:pPr>
        <w:numPr>
          <w:ilvl w:val="0"/>
          <w:numId w:val="30"/>
        </w:numPr>
        <w:ind w:left="360"/>
        <w:contextualSpacing/>
        <w:rPr>
          <w:rFonts w:eastAsia="Calibri" w:cs="Arial"/>
          <w:sz w:val="18"/>
          <w:szCs w:val="18"/>
          <w:lang w:val="sl-SI" w:eastAsia="en-US"/>
        </w:rPr>
      </w:pPr>
      <w:r w:rsidRPr="0024287F">
        <w:rPr>
          <w:rFonts w:eastAsia="Calibri" w:cs="Arial"/>
          <w:sz w:val="18"/>
          <w:szCs w:val="18"/>
          <w:lang w:val="sl-SI" w:eastAsia="en-US"/>
        </w:rPr>
        <w:t xml:space="preserve">Ministry of Environment and Water (MoEW): </w:t>
      </w:r>
      <w:hyperlink r:id="rId28" w:history="1">
        <w:r w:rsidRPr="0024287F">
          <w:rPr>
            <w:rFonts w:eastAsia="Calibri" w:cs="Arial"/>
            <w:color w:val="0563C1"/>
            <w:sz w:val="18"/>
            <w:szCs w:val="18"/>
            <w:u w:val="single"/>
            <w:lang w:val="sl-SI" w:eastAsia="en-US"/>
          </w:rPr>
          <w:t>https://www.moew.government.bg/en/</w:t>
        </w:r>
      </w:hyperlink>
      <w:r w:rsidRPr="0024287F">
        <w:rPr>
          <w:rFonts w:eastAsia="Calibri" w:cs="Arial"/>
          <w:sz w:val="18"/>
          <w:szCs w:val="18"/>
          <w:lang w:val="sl-SI" w:eastAsia="en-US"/>
        </w:rPr>
        <w:t xml:space="preserve"> </w:t>
      </w:r>
    </w:p>
    <w:p w:rsidR="00B637A9" w:rsidRPr="0024287F" w:rsidRDefault="00B637A9" w:rsidP="00B637A9">
      <w:pPr>
        <w:jc w:val="both"/>
        <w:rPr>
          <w:rFonts w:eastAsiaTheme="minorHAnsi" w:cs="Arial"/>
          <w:sz w:val="18"/>
          <w:szCs w:val="18"/>
          <w:lang w:val="sl-SI" w:eastAsia="en-US"/>
        </w:rPr>
      </w:pPr>
    </w:p>
    <w:p w:rsidR="00B637A9" w:rsidRPr="0024287F" w:rsidRDefault="00B637A9" w:rsidP="00B637A9">
      <w:pPr>
        <w:spacing w:line="259" w:lineRule="auto"/>
        <w:rPr>
          <w:rFonts w:cs="Arial"/>
          <w:b/>
          <w:bCs/>
          <w:color w:val="00B0F0"/>
          <w:sz w:val="28"/>
          <w:szCs w:val="28"/>
          <w:lang w:val="sl-SI"/>
        </w:rPr>
      </w:pPr>
      <w:r w:rsidRPr="0024287F">
        <w:rPr>
          <w:rFonts w:cs="Arial"/>
          <w:b/>
          <w:bCs/>
          <w:color w:val="00B0F0"/>
          <w:sz w:val="28"/>
          <w:szCs w:val="28"/>
          <w:lang w:val="sl-SI"/>
        </w:rPr>
        <w:t xml:space="preserve">Zakonske zahteve in omejitve glede pitja v šolah </w:t>
      </w:r>
    </w:p>
    <w:p w:rsidR="00B637A9" w:rsidRPr="0024287F" w:rsidRDefault="00B637A9" w:rsidP="00B637A9">
      <w:pPr>
        <w:jc w:val="both"/>
        <w:rPr>
          <w:rFonts w:cs="Arial"/>
          <w:b/>
          <w:bCs/>
          <w:sz w:val="28"/>
          <w:szCs w:val="28"/>
          <w:lang w:val="sl-SI"/>
        </w:rPr>
      </w:pPr>
    </w:p>
    <w:p w:rsidR="00B637A9" w:rsidRPr="0024287F" w:rsidRDefault="00B637A9" w:rsidP="00B637A9">
      <w:pPr>
        <w:ind w:firstLine="360"/>
        <w:jc w:val="both"/>
        <w:rPr>
          <w:rFonts w:eastAsia="Arial Narrow" w:cs="Arial"/>
          <w:szCs w:val="22"/>
          <w:lang w:val="sl-SI"/>
        </w:rPr>
      </w:pPr>
      <w:r w:rsidRPr="0024287F">
        <w:rPr>
          <w:rFonts w:eastAsia="Arial Narrow" w:cs="Arial"/>
          <w:szCs w:val="22"/>
          <w:lang w:val="sl-SI"/>
        </w:rPr>
        <w:t xml:space="preserve">Glede pitja v vrtcih in šolah ni posebnih pravil in omejitev. Priporočila za zdravo prehranjevanje navajajo tudi priporočeno količino zaužitja vode na dan.  Nekateri dokumenti sicer deloma obravnavajo to tematiko, npr. Priporočila o varni in kvalitetni hrani v vrtcih, šolskih kuhinjah,  prodajnih obratih v bližini šol in na šolskih prireditvah. </w:t>
      </w:r>
    </w:p>
    <w:p w:rsidR="00B637A9" w:rsidRPr="0024287F" w:rsidRDefault="00B637A9" w:rsidP="00B637A9">
      <w:pPr>
        <w:ind w:firstLine="360"/>
        <w:jc w:val="both"/>
        <w:rPr>
          <w:rFonts w:eastAsia="Arial Narrow" w:cs="Arial"/>
          <w:szCs w:val="22"/>
          <w:lang w:val="sl-SI"/>
        </w:rPr>
      </w:pPr>
      <w:r w:rsidRPr="0024287F">
        <w:rPr>
          <w:rFonts w:eastAsia="Arial Narrow" w:cs="Arial"/>
          <w:szCs w:val="22"/>
          <w:lang w:val="sl-SI"/>
        </w:rPr>
        <w:t xml:space="preserve">Kampanja, ki promovira pitje vode izpod pipe v vzgojno varstvenih ustanovah se je začela 2018. Vendar se, kampanji navkljub, še vedno spodbuja pitje ustekleničene vode, tudi če je voda iz pipe po mnenju zdravstveno varstvenih organov neoporečna. </w:t>
      </w:r>
    </w:p>
    <w:p w:rsidR="00B637A9" w:rsidRPr="0024287F" w:rsidRDefault="00B637A9" w:rsidP="00B637A9">
      <w:pPr>
        <w:ind w:firstLine="360"/>
        <w:jc w:val="both"/>
        <w:rPr>
          <w:rFonts w:eastAsia="Arial Narrow" w:cs="Arial"/>
          <w:szCs w:val="22"/>
          <w:lang w:val="sl-SI"/>
        </w:rPr>
      </w:pPr>
    </w:p>
    <w:p w:rsidR="00B637A9" w:rsidRPr="0024287F" w:rsidRDefault="00B637A9" w:rsidP="00B637A9">
      <w:pPr>
        <w:ind w:firstLine="360"/>
        <w:jc w:val="both"/>
        <w:rPr>
          <w:rFonts w:cs="Arial"/>
          <w:color w:val="FF0000"/>
          <w:lang w:val="sl-SI"/>
        </w:rPr>
      </w:pPr>
      <w:r w:rsidRPr="0024287F">
        <w:rPr>
          <w:rFonts w:eastAsia="Arial Narrow" w:cs="Arial"/>
          <w:szCs w:val="22"/>
          <w:lang w:val="sl-SI"/>
        </w:rPr>
        <w:t>A campaign to promote tap water consumption in childcare facilities was launched in 2018. Currently the provision of bottled mineral, spring and table water in the children's establishments is forbitten.</w:t>
      </w:r>
      <w:r w:rsidRPr="0024287F">
        <w:rPr>
          <w:rFonts w:cs="Arial"/>
          <w:szCs w:val="22"/>
          <w:shd w:val="clear" w:color="auto" w:fill="FFFFFF"/>
          <w:lang w:val="sl-SI"/>
        </w:rPr>
        <w:t xml:space="preserve"> In the case that the access to safe tap water is not guaranteed and/or there are any restrictions by the health authorities, directors have to make a motivated desicion about water provision (which water they will use: bottled or something else) in their respective kindergartens.</w:t>
      </w:r>
    </w:p>
    <w:p w:rsidR="00B637A9" w:rsidRPr="0024287F" w:rsidRDefault="00B637A9" w:rsidP="00B637A9">
      <w:pPr>
        <w:ind w:firstLine="360"/>
        <w:jc w:val="both"/>
        <w:rPr>
          <w:rFonts w:cs="Arial"/>
          <w:szCs w:val="22"/>
          <w:lang w:val="sl-SI"/>
        </w:rPr>
      </w:pPr>
    </w:p>
    <w:p w:rsidR="00B637A9" w:rsidRPr="0024287F" w:rsidRDefault="00B637A9" w:rsidP="00B637A9">
      <w:pPr>
        <w:jc w:val="both"/>
        <w:rPr>
          <w:rFonts w:cs="Arial"/>
          <w:sz w:val="18"/>
          <w:szCs w:val="18"/>
          <w:lang w:val="sl-SI"/>
        </w:rPr>
      </w:pPr>
      <w:r w:rsidRPr="0024287F">
        <w:rPr>
          <w:rFonts w:cs="Arial"/>
          <w:b/>
          <w:sz w:val="18"/>
          <w:szCs w:val="18"/>
          <w:lang w:val="sl-SI"/>
        </w:rPr>
        <w:t xml:space="preserve">Viri: </w:t>
      </w:r>
    </w:p>
    <w:p w:rsidR="00B637A9" w:rsidRPr="0024287F" w:rsidRDefault="00B637A9" w:rsidP="00B637A9">
      <w:pPr>
        <w:pStyle w:val="Odstavekseznama"/>
        <w:numPr>
          <w:ilvl w:val="0"/>
          <w:numId w:val="29"/>
        </w:numPr>
        <w:jc w:val="both"/>
        <w:rPr>
          <w:rFonts w:cs="Arial"/>
          <w:sz w:val="18"/>
          <w:szCs w:val="18"/>
          <w:lang w:val="sl-SI"/>
        </w:rPr>
      </w:pPr>
      <w:r w:rsidRPr="0024287F">
        <w:rPr>
          <w:rFonts w:cs="Arial"/>
          <w:sz w:val="18"/>
          <w:szCs w:val="18"/>
          <w:lang w:val="sl-SI"/>
        </w:rPr>
        <w:t>The Ministry of Health in Bulgaria, "Healthy Nutrition Recommendations" for different age groups</w:t>
      </w:r>
    </w:p>
    <w:p w:rsidR="00B637A9" w:rsidRPr="0024287F" w:rsidRDefault="00B224C0" w:rsidP="00B637A9">
      <w:pPr>
        <w:pStyle w:val="Odstavekseznama"/>
        <w:numPr>
          <w:ilvl w:val="0"/>
          <w:numId w:val="29"/>
        </w:numPr>
        <w:jc w:val="both"/>
        <w:rPr>
          <w:rStyle w:val="Hiperpovezava"/>
          <w:rFonts w:eastAsiaTheme="majorEastAsia" w:cs="Arial"/>
          <w:color w:val="auto"/>
          <w:sz w:val="18"/>
          <w:szCs w:val="18"/>
          <w:lang w:val="sl-SI"/>
        </w:rPr>
      </w:pPr>
      <w:hyperlink r:id="rId29" w:history="1">
        <w:r w:rsidR="00B637A9" w:rsidRPr="0024287F">
          <w:rPr>
            <w:rStyle w:val="Hiperpovezava"/>
            <w:rFonts w:eastAsiaTheme="majorEastAsia" w:cs="Arial"/>
            <w:sz w:val="18"/>
            <w:szCs w:val="18"/>
            <w:lang w:val="sl-SI"/>
          </w:rPr>
          <w:t>http://ncpha.government.bg/index.php?lang=en</w:t>
        </w:r>
      </w:hyperlink>
    </w:p>
    <w:p w:rsidR="00B637A9" w:rsidRPr="0024287F" w:rsidRDefault="00B637A9" w:rsidP="00B637A9">
      <w:pPr>
        <w:pStyle w:val="Odstavekseznama"/>
        <w:numPr>
          <w:ilvl w:val="0"/>
          <w:numId w:val="29"/>
        </w:numPr>
        <w:jc w:val="both"/>
        <w:rPr>
          <w:rFonts w:cs="Arial"/>
          <w:sz w:val="18"/>
          <w:szCs w:val="18"/>
          <w:lang w:val="sl-SI"/>
        </w:rPr>
      </w:pPr>
      <w:r w:rsidRPr="0024287F">
        <w:rPr>
          <w:rFonts w:cs="Arial"/>
          <w:sz w:val="18"/>
          <w:szCs w:val="18"/>
          <w:lang w:val="sl-SI"/>
        </w:rPr>
        <w:t>Ordinance 9 from 16.03.2001 on the quality of water intended for drinking and household purposes</w:t>
      </w:r>
    </w:p>
    <w:p w:rsidR="0024287F" w:rsidRPr="0024287F" w:rsidRDefault="0024287F" w:rsidP="0024287F">
      <w:pPr>
        <w:spacing w:line="259" w:lineRule="auto"/>
        <w:rPr>
          <w:rFonts w:cs="Arial"/>
          <w:b/>
          <w:bCs/>
          <w:color w:val="09AEE9"/>
          <w:sz w:val="40"/>
          <w:szCs w:val="40"/>
          <w:lang w:val="en-GB"/>
        </w:rPr>
      </w:pPr>
      <w:bookmarkStart w:id="8" w:name="_Toc14770437"/>
      <w:r w:rsidRPr="0024287F">
        <w:rPr>
          <w:rFonts w:cs="Arial"/>
          <w:b/>
          <w:bCs/>
          <w:color w:val="09AEE9"/>
          <w:sz w:val="40"/>
          <w:szCs w:val="40"/>
          <w:lang w:val="en-GB"/>
        </w:rPr>
        <w:lastRenderedPageBreak/>
        <w:t xml:space="preserve">Češka Republika </w:t>
      </w:r>
    </w:p>
    <w:p w:rsidR="0024287F" w:rsidRPr="000E432B" w:rsidRDefault="0024287F" w:rsidP="0024287F">
      <w:pPr>
        <w:spacing w:line="259" w:lineRule="auto"/>
        <w:rPr>
          <w:rFonts w:cs="Arial"/>
          <w:b/>
          <w:bCs/>
          <w:color w:val="09AEE9"/>
          <w:szCs w:val="22"/>
          <w:lang w:val="en-GB"/>
        </w:rPr>
      </w:pPr>
    </w:p>
    <w:p w:rsidR="0024287F" w:rsidRPr="0024287F" w:rsidRDefault="0024287F" w:rsidP="0024287F">
      <w:pPr>
        <w:spacing w:line="259" w:lineRule="auto"/>
        <w:rPr>
          <w:rFonts w:cs="Arial"/>
          <w:b/>
          <w:bCs/>
          <w:color w:val="00B0F0"/>
          <w:sz w:val="32"/>
          <w:szCs w:val="32"/>
          <w:lang w:val="sl-SI"/>
        </w:rPr>
      </w:pPr>
      <w:r w:rsidRPr="0024287F">
        <w:rPr>
          <w:rFonts w:cs="Arial"/>
          <w:b/>
          <w:bCs/>
          <w:color w:val="00B0F0"/>
          <w:sz w:val="32"/>
          <w:szCs w:val="32"/>
          <w:lang w:val="sl-SI"/>
        </w:rPr>
        <w:t xml:space="preserve">Navade pri uživanju pijač pri otrocih in mladostnikih </w:t>
      </w:r>
    </w:p>
    <w:p w:rsidR="0024287F" w:rsidRPr="000E432B" w:rsidRDefault="0024287F" w:rsidP="0024287F">
      <w:pPr>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Rezultati raziskave, opravljene 2016 na vzorcu šolskih otrok so pokazali: </w:t>
      </w:r>
    </w:p>
    <w:p w:rsidR="0024287F" w:rsidRPr="000E432B" w:rsidRDefault="0024287F" w:rsidP="0024287F">
      <w:pPr>
        <w:pStyle w:val="Odstavekseznama"/>
        <w:numPr>
          <w:ilvl w:val="0"/>
          <w:numId w:val="34"/>
        </w:numPr>
        <w:jc w:val="both"/>
        <w:rPr>
          <w:rFonts w:eastAsiaTheme="minorHAnsi" w:cs="Arial"/>
          <w:szCs w:val="22"/>
          <w:lang w:val="en-US" w:eastAsia="en-US"/>
        </w:rPr>
      </w:pPr>
      <w:r w:rsidRPr="000E432B">
        <w:rPr>
          <w:rFonts w:eastAsiaTheme="minorHAnsi" w:cs="Arial"/>
          <w:szCs w:val="22"/>
          <w:lang w:val="en-US" w:eastAsia="en-US"/>
        </w:rPr>
        <w:t xml:space="preserve">Več kot 90 odstotkov otrok redno uživa sladke pijače, od tega skoraj 30 odstotkov dvakrat tedensko. Vsak 12 otrok pije sladke pijače vsak dan. Skupina otrok, ki so sodelovali, užije kar polovico dnevne količine sladkorja s pijačami!  </w:t>
      </w:r>
    </w:p>
    <w:p w:rsidR="0024287F" w:rsidRPr="000E432B" w:rsidRDefault="0024287F" w:rsidP="0024287F">
      <w:pPr>
        <w:pStyle w:val="Odstavekseznama"/>
        <w:numPr>
          <w:ilvl w:val="0"/>
          <w:numId w:val="34"/>
        </w:numPr>
        <w:jc w:val="both"/>
        <w:rPr>
          <w:rFonts w:eastAsiaTheme="minorHAnsi" w:cs="Arial"/>
          <w:szCs w:val="22"/>
          <w:lang w:val="en-US" w:eastAsia="en-US"/>
        </w:rPr>
      </w:pPr>
      <w:r w:rsidRPr="000E432B">
        <w:rPr>
          <w:rFonts w:eastAsiaTheme="minorHAnsi" w:cs="Arial"/>
          <w:szCs w:val="22"/>
          <w:lang w:val="en-US" w:eastAsia="en-US"/>
        </w:rPr>
        <w:t>Najpogosteje uživane pijače: voda (46,1%), voda z dodatkom sirupa (25,5%), čaj (19,6%), mineralna in sladkana mineralna voda (2%),  gazirane pijače, sadni sokovi (2%), mleko (1%).</w:t>
      </w:r>
    </w:p>
    <w:p w:rsidR="0024287F" w:rsidRPr="000E432B" w:rsidRDefault="0024287F" w:rsidP="0024287F">
      <w:pPr>
        <w:pStyle w:val="Odstavekseznama"/>
        <w:numPr>
          <w:ilvl w:val="0"/>
          <w:numId w:val="34"/>
        </w:numPr>
        <w:jc w:val="both"/>
        <w:rPr>
          <w:rFonts w:eastAsiaTheme="minorHAnsi" w:cs="Arial"/>
          <w:szCs w:val="22"/>
          <w:lang w:val="en-US" w:eastAsia="en-US"/>
        </w:rPr>
      </w:pPr>
      <w:r w:rsidRPr="000E432B">
        <w:rPr>
          <w:rFonts w:eastAsiaTheme="minorHAnsi" w:cs="Arial"/>
          <w:szCs w:val="22"/>
          <w:lang w:val="en-US" w:eastAsia="en-US"/>
        </w:rPr>
        <w:t>Pogostost pitja sladkih pijač: skoraj vsak dan (8%), dvakrat tedensko ali večkrat (30%), nikoli (7%)</w:t>
      </w:r>
    </w:p>
    <w:p w:rsidR="0024287F" w:rsidRPr="000E432B" w:rsidRDefault="0024287F" w:rsidP="0024287F">
      <w:pPr>
        <w:pStyle w:val="Odstavekseznama"/>
        <w:numPr>
          <w:ilvl w:val="0"/>
          <w:numId w:val="34"/>
        </w:numPr>
        <w:jc w:val="both"/>
        <w:rPr>
          <w:rFonts w:eastAsiaTheme="minorHAnsi" w:cs="Arial"/>
          <w:szCs w:val="22"/>
          <w:lang w:val="en-US" w:eastAsia="en-US"/>
        </w:rPr>
      </w:pPr>
      <w:r w:rsidRPr="000E432B">
        <w:rPr>
          <w:rFonts w:eastAsiaTheme="minorHAnsi" w:cs="Arial"/>
          <w:szCs w:val="22"/>
          <w:lang w:val="en-US" w:eastAsia="en-US"/>
        </w:rPr>
        <w:t xml:space="preserve">Pitje med šolskim dnevom: zelo malo pijejo dopoldan med poukom. 20% otrok zjutraj doma ne pije, 10% pa jih pije samo trikrat ali še manj.  </w:t>
      </w:r>
    </w:p>
    <w:p w:rsidR="0024287F" w:rsidRPr="000E432B" w:rsidRDefault="0024287F" w:rsidP="0024287F">
      <w:pPr>
        <w:rPr>
          <w:rFonts w:eastAsiaTheme="minorHAnsi" w:cs="Arial"/>
          <w:b/>
          <w:sz w:val="18"/>
          <w:szCs w:val="18"/>
          <w:lang w:val="en-US" w:eastAsia="en-US"/>
        </w:rPr>
      </w:pPr>
      <w:r>
        <w:rPr>
          <w:rFonts w:eastAsiaTheme="minorHAnsi" w:cs="Arial"/>
          <w:b/>
          <w:sz w:val="18"/>
          <w:szCs w:val="18"/>
          <w:lang w:val="en-US" w:eastAsia="en-US"/>
        </w:rPr>
        <w:t>V</w:t>
      </w:r>
      <w:r w:rsidRPr="000E432B">
        <w:rPr>
          <w:rFonts w:eastAsiaTheme="minorHAnsi" w:cs="Arial"/>
          <w:b/>
          <w:sz w:val="18"/>
          <w:szCs w:val="18"/>
          <w:lang w:val="en-US" w:eastAsia="en-US"/>
        </w:rPr>
        <w:t>ir:</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Research results „Jak pijí české děti“ (What Czech children drink), MUDr. Petr Tláskal, AquaLife Institut, May 2016</w:t>
      </w:r>
    </w:p>
    <w:p w:rsidR="0024287F" w:rsidRPr="000E432B" w:rsidRDefault="0024287F" w:rsidP="0024287F">
      <w:pPr>
        <w:rPr>
          <w:rFonts w:eastAsiaTheme="minorHAnsi" w:cs="Arial"/>
          <w:szCs w:val="22"/>
          <w:lang w:val="en-US" w:eastAsia="en-US"/>
        </w:rPr>
      </w:pPr>
    </w:p>
    <w:p w:rsidR="0024287F" w:rsidRPr="0024287F" w:rsidRDefault="0024287F" w:rsidP="0024287F">
      <w:pPr>
        <w:spacing w:line="259" w:lineRule="auto"/>
        <w:rPr>
          <w:rFonts w:cs="Arial"/>
          <w:b/>
          <w:bCs/>
          <w:color w:val="00B0F0"/>
          <w:sz w:val="28"/>
          <w:szCs w:val="28"/>
          <w:lang w:val="sl-SI"/>
        </w:rPr>
      </w:pPr>
      <w:r w:rsidRPr="0024287F">
        <w:rPr>
          <w:rFonts w:cs="Arial"/>
          <w:b/>
          <w:bCs/>
          <w:color w:val="00B0F0"/>
          <w:sz w:val="28"/>
          <w:szCs w:val="28"/>
          <w:lang w:val="sl-SI"/>
        </w:rPr>
        <w:t xml:space="preserve">Stopnja debelosti, prekomerne telesne teže in kariesa med otroci/mladino </w:t>
      </w:r>
    </w:p>
    <w:p w:rsidR="0024287F" w:rsidRPr="000E432B" w:rsidRDefault="0024287F" w:rsidP="0024287F">
      <w:pPr>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Češka Republika je četrta po vrsti glede debelosti v Evropi, s 5 - 10 odstotki debelih otrok. Po podatkih COSI se prekomerna telesna teža pojavlja pri 23 odstotkih čeških deklic in pri 24 odstotkih čeških dečkov.  Približno 154.000 otrok mlajših od 16 let trpi za debelostjo, od tega je 85.000 otrok z metabolnimi spremembami, od teh je  34.000 otrok morbidno debelih (COSI, 2016). Zapisano je, da ima vsak peti deček na Češkem višjo težo od normalne (SZÚ, 2013). Na Češkem narašča trend prehoda otrok iz kategorije prekomerne telesne teže v kategorijo debelosti (Hainer, 2011).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Pojav debelosti pri otrocih se je znatno povečal v obdobju zadnjih 20 letih (1996-2016), zadnjih pet let pa ostaja dokaj nespremenjen, trenutno znaša 10 odstotkov. Vzorec, ki so ga raziskovali, je pokazal te rezultate:  </w:t>
      </w:r>
    </w:p>
    <w:p w:rsidR="0024287F" w:rsidRPr="000E432B" w:rsidRDefault="0024287F" w:rsidP="0024287F">
      <w:pPr>
        <w:pStyle w:val="Odstavekseznama"/>
        <w:numPr>
          <w:ilvl w:val="0"/>
          <w:numId w:val="35"/>
        </w:numPr>
        <w:jc w:val="both"/>
        <w:rPr>
          <w:rFonts w:eastAsiaTheme="minorHAnsi" w:cs="Arial"/>
          <w:szCs w:val="22"/>
          <w:lang w:val="en-US" w:eastAsia="en-US"/>
        </w:rPr>
      </w:pPr>
      <w:r w:rsidRPr="000E432B">
        <w:rPr>
          <w:rFonts w:eastAsiaTheme="minorHAnsi" w:cs="Arial"/>
          <w:szCs w:val="22"/>
          <w:lang w:val="en-US" w:eastAsia="en-US"/>
        </w:rPr>
        <w:t xml:space="preserve">skupno 8.1 odstotka otrok ima nižjo telesno težo (2% pod tretjo percentilo), </w:t>
      </w:r>
    </w:p>
    <w:p w:rsidR="0024287F" w:rsidRPr="000E432B" w:rsidRDefault="0024287F" w:rsidP="0024287F">
      <w:pPr>
        <w:pStyle w:val="Odstavekseznama"/>
        <w:numPr>
          <w:ilvl w:val="0"/>
          <w:numId w:val="35"/>
        </w:numPr>
        <w:jc w:val="both"/>
        <w:rPr>
          <w:rFonts w:eastAsiaTheme="minorHAnsi" w:cs="Arial"/>
          <w:szCs w:val="22"/>
          <w:lang w:val="en-US" w:eastAsia="en-US"/>
        </w:rPr>
      </w:pPr>
      <w:r w:rsidRPr="000E432B">
        <w:rPr>
          <w:rFonts w:eastAsiaTheme="minorHAnsi" w:cs="Arial"/>
          <w:szCs w:val="22"/>
          <w:lang w:val="en-US" w:eastAsia="en-US"/>
        </w:rPr>
        <w:t>normalno telesno težo ima 74.1 odstotkov otrok,</w:t>
      </w:r>
    </w:p>
    <w:p w:rsidR="0024287F" w:rsidRPr="000E432B" w:rsidRDefault="0024287F" w:rsidP="0024287F">
      <w:pPr>
        <w:pStyle w:val="Odstavekseznama"/>
        <w:numPr>
          <w:ilvl w:val="0"/>
          <w:numId w:val="35"/>
        </w:numPr>
        <w:jc w:val="both"/>
        <w:rPr>
          <w:rFonts w:eastAsiaTheme="minorHAnsi" w:cs="Arial"/>
          <w:szCs w:val="22"/>
          <w:lang w:val="en-US" w:eastAsia="en-US"/>
        </w:rPr>
      </w:pPr>
      <w:r w:rsidRPr="000E432B">
        <w:rPr>
          <w:rFonts w:eastAsiaTheme="minorHAnsi" w:cs="Arial"/>
          <w:szCs w:val="22"/>
          <w:lang w:val="en-US" w:eastAsia="en-US"/>
        </w:rPr>
        <w:t xml:space="preserve">prekomerno težkih je 7.5 odstotka otrok </w:t>
      </w:r>
    </w:p>
    <w:p w:rsidR="0024287F" w:rsidRPr="000E432B" w:rsidRDefault="0024287F" w:rsidP="0024287F">
      <w:pPr>
        <w:pStyle w:val="Odstavekseznama"/>
        <w:numPr>
          <w:ilvl w:val="0"/>
          <w:numId w:val="35"/>
        </w:numPr>
        <w:jc w:val="both"/>
        <w:rPr>
          <w:rFonts w:eastAsiaTheme="minorHAnsi" w:cs="Arial"/>
          <w:szCs w:val="22"/>
          <w:lang w:val="en-US" w:eastAsia="en-US"/>
        </w:rPr>
      </w:pPr>
      <w:r w:rsidRPr="000E432B">
        <w:rPr>
          <w:rFonts w:eastAsiaTheme="minorHAnsi" w:cs="Arial"/>
          <w:szCs w:val="22"/>
          <w:lang w:val="en-US" w:eastAsia="en-US"/>
        </w:rPr>
        <w:t>debelih otrok pa je 10.3 odstotka.</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K višji telesni teži so bolj naagnjeni fantjelede na starost.  kot dekleta, razlika pa znaša le 2,2 odstotka. Značilne razlike so povezane s starostjo. </w:t>
      </w:r>
    </w:p>
    <w:p w:rsidR="0024287F" w:rsidRPr="000E432B" w:rsidRDefault="0024287F" w:rsidP="0024287F">
      <w:pPr>
        <w:rPr>
          <w:rFonts w:eastAsiaTheme="minorHAnsi" w:cs="Arial"/>
          <w:sz w:val="18"/>
          <w:szCs w:val="18"/>
          <w:lang w:val="en-US" w:eastAsia="en-US"/>
        </w:rPr>
      </w:pPr>
    </w:p>
    <w:p w:rsidR="0024287F" w:rsidRPr="000E432B" w:rsidRDefault="0024287F" w:rsidP="0024287F">
      <w:pPr>
        <w:rPr>
          <w:rFonts w:eastAsiaTheme="minorHAnsi" w:cs="Arial"/>
          <w:b/>
          <w:sz w:val="18"/>
          <w:szCs w:val="18"/>
          <w:lang w:val="en-US" w:eastAsia="en-US"/>
        </w:rPr>
      </w:pPr>
      <w:r w:rsidRPr="000E432B">
        <w:rPr>
          <w:rFonts w:eastAsiaTheme="minorHAnsi" w:cs="Arial"/>
          <w:b/>
          <w:sz w:val="18"/>
          <w:szCs w:val="18"/>
          <w:lang w:val="en-US" w:eastAsia="en-US"/>
        </w:rPr>
        <w:t xml:space="preserve">Vir: </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COSI (2016): WHO European Childhood Obesity Surveillance Initiative (COSI). World Health Organization.</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Výsledky studie „Zdraví dětí 2016“, SZU, 2016</w:t>
      </w:r>
    </w:p>
    <w:p w:rsidR="0024287F" w:rsidRPr="000E432B" w:rsidRDefault="0024287F" w:rsidP="0024287F">
      <w:pPr>
        <w:pStyle w:val="Odstavekseznama"/>
        <w:rPr>
          <w:rFonts w:eastAsiaTheme="minorHAnsi" w:cs="Arial"/>
          <w:szCs w:val="22"/>
          <w:lang w:val="en-US" w:eastAsia="en-US"/>
        </w:rPr>
      </w:pPr>
    </w:p>
    <w:p w:rsidR="0024287F" w:rsidRDefault="0024287F" w:rsidP="0024287F">
      <w:pPr>
        <w:spacing w:line="259" w:lineRule="auto"/>
        <w:rPr>
          <w:rFonts w:cs="Arial"/>
          <w:b/>
          <w:bCs/>
          <w:color w:val="00B0F0"/>
          <w:sz w:val="28"/>
          <w:szCs w:val="28"/>
          <w:lang w:val="en-GB"/>
        </w:rPr>
      </w:pPr>
    </w:p>
    <w:p w:rsidR="0024287F" w:rsidRDefault="0024287F" w:rsidP="0024287F">
      <w:pPr>
        <w:spacing w:line="259" w:lineRule="auto"/>
        <w:rPr>
          <w:rFonts w:cs="Arial"/>
          <w:b/>
          <w:bCs/>
          <w:color w:val="00B0F0"/>
          <w:sz w:val="28"/>
          <w:szCs w:val="28"/>
          <w:lang w:val="en-GB"/>
        </w:rPr>
      </w:pPr>
    </w:p>
    <w:p w:rsidR="0024287F" w:rsidRDefault="0024287F" w:rsidP="0024287F">
      <w:pPr>
        <w:spacing w:line="259" w:lineRule="auto"/>
        <w:rPr>
          <w:rFonts w:cs="Arial"/>
          <w:b/>
          <w:bCs/>
          <w:color w:val="00B0F0"/>
          <w:sz w:val="28"/>
          <w:szCs w:val="28"/>
          <w:lang w:val="en-GB"/>
        </w:rPr>
      </w:pPr>
    </w:p>
    <w:p w:rsidR="0024287F" w:rsidRDefault="0024287F" w:rsidP="0024287F">
      <w:pPr>
        <w:spacing w:line="259" w:lineRule="auto"/>
        <w:rPr>
          <w:rFonts w:cs="Arial"/>
          <w:b/>
          <w:bCs/>
          <w:color w:val="00B0F0"/>
          <w:sz w:val="28"/>
          <w:szCs w:val="28"/>
          <w:lang w:val="en-GB"/>
        </w:rPr>
      </w:pPr>
    </w:p>
    <w:p w:rsidR="0024287F" w:rsidRDefault="0024287F" w:rsidP="0024287F">
      <w:pPr>
        <w:spacing w:line="259" w:lineRule="auto"/>
        <w:rPr>
          <w:rFonts w:cs="Arial"/>
          <w:b/>
          <w:bCs/>
          <w:color w:val="00B0F0"/>
          <w:sz w:val="28"/>
          <w:szCs w:val="28"/>
          <w:lang w:val="en-GB"/>
        </w:rPr>
      </w:pPr>
    </w:p>
    <w:p w:rsidR="0024287F" w:rsidRDefault="0024287F" w:rsidP="0024287F">
      <w:pPr>
        <w:spacing w:line="259" w:lineRule="auto"/>
        <w:rPr>
          <w:rFonts w:cs="Arial"/>
          <w:b/>
          <w:bCs/>
          <w:color w:val="00B0F0"/>
          <w:sz w:val="28"/>
          <w:szCs w:val="28"/>
          <w:lang w:val="en-GB"/>
        </w:rPr>
      </w:pPr>
    </w:p>
    <w:p w:rsidR="0024287F" w:rsidRPr="0024287F" w:rsidRDefault="0024287F" w:rsidP="0024287F">
      <w:pPr>
        <w:spacing w:line="259" w:lineRule="auto"/>
        <w:rPr>
          <w:rFonts w:cs="Arial"/>
          <w:b/>
          <w:bCs/>
          <w:color w:val="00B0F0"/>
          <w:sz w:val="28"/>
          <w:szCs w:val="28"/>
          <w:lang w:val="en-GB"/>
        </w:rPr>
      </w:pPr>
      <w:r w:rsidRPr="0024287F">
        <w:rPr>
          <w:rFonts w:cs="Arial"/>
          <w:b/>
          <w:bCs/>
          <w:color w:val="00B0F0"/>
          <w:sz w:val="28"/>
          <w:szCs w:val="28"/>
          <w:lang w:val="en-GB"/>
        </w:rPr>
        <w:lastRenderedPageBreak/>
        <w:t xml:space="preserve">Dostop do čiste pitne vode  </w:t>
      </w:r>
    </w:p>
    <w:p w:rsidR="0024287F" w:rsidRPr="000E432B" w:rsidRDefault="0024287F" w:rsidP="00242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lang w:val="en-US" w:eastAsia="en-US"/>
        </w:rPr>
      </w:pPr>
      <w:r>
        <w:rPr>
          <w:rFonts w:eastAsiaTheme="minorHAnsi" w:cs="Arial"/>
          <w:b/>
          <w:noProof/>
          <w:lang w:val="sl-SI" w:eastAsia="sl-SI"/>
        </w:rPr>
        <w:drawing>
          <wp:anchor distT="0" distB="0" distL="114300" distR="114300" simplePos="0" relativeHeight="251673600" behindDoc="0" locked="0" layoutInCell="1" allowOverlap="1">
            <wp:simplePos x="0" y="0"/>
            <wp:positionH relativeFrom="column">
              <wp:posOffset>3186430</wp:posOffset>
            </wp:positionH>
            <wp:positionV relativeFrom="paragraph">
              <wp:posOffset>41910</wp:posOffset>
            </wp:positionV>
            <wp:extent cx="2628900" cy="1809750"/>
            <wp:effectExtent l="19050" t="0" r="19050" b="0"/>
            <wp:wrapThrough wrapText="bothSides">
              <wp:wrapPolygon edited="0">
                <wp:start x="-157" y="0"/>
                <wp:lineTo x="-157" y="21600"/>
                <wp:lineTo x="21757" y="21600"/>
                <wp:lineTo x="21757" y="0"/>
                <wp:lineTo x="-157" y="0"/>
              </wp:wrapPolygon>
            </wp:wrapThrough>
            <wp:docPr id="10" name="Diagramm 11">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a16="http://schemas.microsoft.com/office/drawing/2014/main" xmlns:dgm="http://schemas.openxmlformats.org/drawingml/2006/diagram" xmlns:c="http://schemas.openxmlformats.org/drawingml/2006/chart" xmlns:a14="http://schemas.microsoft.com/office/drawing/2010/main" xmlns:pic="http://schemas.openxmlformats.org/drawingml/2006/pictur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D0D6AA6-BBA9-4104-9804-C9E100DFB84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p>
    <w:p w:rsidR="0024287F" w:rsidRPr="000E432B" w:rsidRDefault="0024287F" w:rsidP="0024287F">
      <w:pPr>
        <w:jc w:val="both"/>
        <w:rPr>
          <w:rFonts w:eastAsiaTheme="minorHAnsi" w:cs="Arial"/>
          <w:b/>
          <w:szCs w:val="22"/>
          <w:lang w:val="en-US" w:eastAsia="en-US"/>
        </w:rPr>
      </w:pPr>
      <w:r w:rsidRPr="000E432B">
        <w:rPr>
          <w:rFonts w:eastAsiaTheme="minorHAnsi" w:cs="Arial"/>
          <w:b/>
          <w:szCs w:val="22"/>
          <w:lang w:val="en-US" w:eastAsia="en-US"/>
        </w:rPr>
        <w:t>Viri pitne vode:</w:t>
      </w:r>
    </w:p>
    <w:p w:rsidR="0024287F" w:rsidRPr="000E432B" w:rsidRDefault="0024287F" w:rsidP="00242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Arial"/>
          <w:noProof/>
          <w:lang w:val="en-US"/>
        </w:rPr>
      </w:pPr>
      <w:r w:rsidRPr="000E432B">
        <w:rPr>
          <w:rFonts w:eastAsiaTheme="minorHAnsi" w:cs="Arial"/>
          <w:szCs w:val="22"/>
          <w:lang w:val="en-US" w:eastAsia="en-US"/>
        </w:rPr>
        <w:t xml:space="preserve">Površinska voda:  </w:t>
      </w:r>
      <w:r w:rsidRPr="000E432B">
        <w:rPr>
          <w:rFonts w:eastAsiaTheme="minorHAnsi" w:cs="Arial"/>
          <w:lang w:val="en-US" w:eastAsia="en-US"/>
        </w:rPr>
        <w:t>45-55</w:t>
      </w:r>
      <w:r w:rsidRPr="000E432B">
        <w:rPr>
          <w:rFonts w:eastAsiaTheme="minorHAnsi" w:cs="Arial"/>
          <w:szCs w:val="22"/>
          <w:lang w:val="en-US" w:eastAsia="en-US"/>
        </w:rPr>
        <w:t xml:space="preserve"> %</w:t>
      </w:r>
      <w:r w:rsidRPr="000E432B">
        <w:rPr>
          <w:rFonts w:cs="Arial"/>
          <w:noProof/>
          <w:lang w:val="en-US"/>
        </w:rPr>
        <w:t xml:space="preserve"> </w:t>
      </w:r>
    </w:p>
    <w:p w:rsidR="0024287F" w:rsidRPr="000E432B" w:rsidRDefault="0024287F" w:rsidP="00242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szCs w:val="22"/>
          <w:lang w:val="en-US" w:eastAsia="en-US"/>
        </w:rPr>
      </w:pPr>
      <w:r w:rsidRPr="000E432B">
        <w:rPr>
          <w:rFonts w:eastAsiaTheme="minorHAnsi" w:cs="Arial"/>
          <w:szCs w:val="22"/>
          <w:lang w:val="en-US" w:eastAsia="en-US"/>
        </w:rPr>
        <w:t>Podtalna voda: 45-55 %</w:t>
      </w:r>
    </w:p>
    <w:p w:rsidR="0024287F" w:rsidRPr="000E432B" w:rsidRDefault="0024287F" w:rsidP="0024287F">
      <w:pPr>
        <w:rPr>
          <w:rFonts w:eastAsiaTheme="minorHAnsi" w:cs="Arial"/>
          <w:szCs w:val="22"/>
          <w:lang w:val="en-US" w:eastAsia="en-US"/>
        </w:rPr>
      </w:pPr>
      <w:r w:rsidRPr="000E432B">
        <w:rPr>
          <w:rFonts w:eastAsiaTheme="minorHAnsi" w:cs="Arial"/>
          <w:szCs w:val="22"/>
          <w:lang w:val="en-US" w:eastAsia="en-US"/>
        </w:rPr>
        <w:t xml:space="preserve">Vse površinske in izvirske vode se pred uporabo za pitje obdela, preden to postane pitna voda. </w:t>
      </w:r>
    </w:p>
    <w:p w:rsidR="0024287F" w:rsidRPr="000E432B" w:rsidRDefault="0024287F" w:rsidP="0024287F">
      <w:pPr>
        <w:pStyle w:val="Navadensplet"/>
        <w:shd w:val="clear" w:color="auto" w:fill="FFFFFF"/>
        <w:spacing w:before="120" w:after="120"/>
        <w:rPr>
          <w:rFonts w:eastAsiaTheme="minorHAnsi" w:cs="Arial"/>
          <w:szCs w:val="22"/>
          <w:lang w:val="en-US" w:eastAsia="en-US"/>
        </w:rPr>
      </w:pPr>
      <w:r w:rsidRPr="000E432B">
        <w:rPr>
          <w:rFonts w:eastAsiaTheme="minorHAnsi" w:cs="Arial"/>
          <w:szCs w:val="22"/>
          <w:lang w:val="en-US" w:eastAsia="en-US"/>
        </w:rPr>
        <w:t xml:space="preserve">Higienske zahteve za pitno vodo (kontrola, ustekleničenje voda, omejitve glede kemičnih, fizikalnih in mikrobioloških parametrov) so določene z Dekretom Ministrstva za zdravje št. 252/2004 Coll. </w:t>
      </w:r>
    </w:p>
    <w:p w:rsidR="0024287F" w:rsidRPr="000E432B" w:rsidRDefault="0024287F" w:rsidP="0024287F">
      <w:pPr>
        <w:pStyle w:val="Navadensplet"/>
        <w:shd w:val="clear" w:color="auto" w:fill="FFFFFF"/>
        <w:spacing w:before="120" w:beforeAutospacing="0" w:after="120" w:afterAutospacing="0"/>
        <w:jc w:val="both"/>
        <w:rPr>
          <w:rFonts w:eastAsiaTheme="minorHAnsi" w:cs="Arial"/>
          <w:szCs w:val="22"/>
          <w:lang w:val="en-US" w:eastAsia="en-US"/>
        </w:rPr>
      </w:pPr>
      <w:r w:rsidRPr="000E432B">
        <w:rPr>
          <w:rFonts w:eastAsiaTheme="minorHAnsi" w:cs="Arial"/>
          <w:szCs w:val="22"/>
          <w:lang w:val="en-US" w:eastAsia="en-US"/>
        </w:rPr>
        <w:t xml:space="preserve">Kvaliteta pitne vode, ki jo zagotavljajo vodovodna podjetja na češkem je na zelo visokem nivoju. Tuji vonji ali sprememba barve nastanejo ker voda reagira z notranjostjo cevi v vodovodnem omrežju, ki je včasih zelo staro (več kot 100 let). V veliki večini primerov je težava zgolj lepotne in ne zdravstvne narave. </w:t>
      </w:r>
    </w:p>
    <w:p w:rsidR="0024287F" w:rsidRPr="000E432B" w:rsidRDefault="0024287F" w:rsidP="0024287F">
      <w:pPr>
        <w:rPr>
          <w:rFonts w:eastAsiaTheme="minorHAnsi" w:cs="Arial"/>
          <w:szCs w:val="22"/>
          <w:lang w:val="en-US" w:eastAsia="en-US"/>
        </w:rPr>
      </w:pPr>
    </w:p>
    <w:p w:rsidR="0024287F" w:rsidRPr="000E432B" w:rsidRDefault="0024287F" w:rsidP="0024287F">
      <w:pPr>
        <w:spacing w:after="160" w:line="259" w:lineRule="auto"/>
        <w:rPr>
          <w:rFonts w:eastAsiaTheme="minorHAnsi" w:cs="Arial"/>
          <w:b/>
          <w:szCs w:val="22"/>
          <w:lang w:val="en-US" w:eastAsia="en-US"/>
        </w:rPr>
      </w:pPr>
      <w:r w:rsidRPr="000E432B">
        <w:rPr>
          <w:rFonts w:eastAsiaTheme="minorHAnsi" w:cs="Arial"/>
          <w:b/>
          <w:szCs w:val="22"/>
          <w:lang w:val="en-US" w:eastAsia="en-US"/>
        </w:rPr>
        <w:t xml:space="preserve">Oskrba vrtcev in šol z varno pitno vodo </w:t>
      </w:r>
    </w:p>
    <w:p w:rsidR="0024287F" w:rsidRPr="000E432B" w:rsidRDefault="0024287F" w:rsidP="0024287F">
      <w:pPr>
        <w:rPr>
          <w:rFonts w:eastAsiaTheme="minorHAnsi" w:cs="Arial"/>
          <w:szCs w:val="22"/>
          <w:lang w:val="en-US" w:eastAsia="en-US"/>
        </w:rPr>
      </w:pPr>
      <w:r w:rsidRPr="000E432B">
        <w:rPr>
          <w:rFonts w:eastAsiaTheme="minorHAnsi" w:cs="Arial"/>
          <w:szCs w:val="22"/>
          <w:lang w:val="en-US" w:eastAsia="en-US"/>
        </w:rPr>
        <w:t xml:space="preserve">Vse češke šole imajo oskrbo z varno in čisto pitno vodo iz pipe. </w:t>
      </w:r>
    </w:p>
    <w:p w:rsidR="0024287F" w:rsidRPr="000E432B" w:rsidRDefault="0024287F" w:rsidP="0024287F">
      <w:pPr>
        <w:rPr>
          <w:rFonts w:eastAsiaTheme="minorHAnsi" w:cs="Arial"/>
          <w:sz w:val="18"/>
          <w:szCs w:val="18"/>
          <w:lang w:val="en-US" w:eastAsia="en-US"/>
        </w:rPr>
      </w:pPr>
    </w:p>
    <w:p w:rsidR="0024287F" w:rsidRPr="000E432B" w:rsidRDefault="0024287F" w:rsidP="0024287F">
      <w:pPr>
        <w:rPr>
          <w:rFonts w:eastAsiaTheme="minorHAnsi" w:cs="Arial"/>
          <w:b/>
          <w:sz w:val="18"/>
          <w:szCs w:val="18"/>
          <w:lang w:val="fr-FR" w:eastAsia="en-US"/>
        </w:rPr>
      </w:pPr>
      <w:r w:rsidRPr="000E432B">
        <w:rPr>
          <w:rFonts w:eastAsiaTheme="minorHAnsi" w:cs="Arial"/>
          <w:b/>
          <w:sz w:val="18"/>
          <w:szCs w:val="18"/>
          <w:lang w:val="fr-FR" w:eastAsia="en-US"/>
        </w:rPr>
        <w:t xml:space="preserve">Vir: </w:t>
      </w:r>
    </w:p>
    <w:p w:rsidR="0024287F" w:rsidRPr="000E432B" w:rsidRDefault="00B224C0" w:rsidP="0024287F">
      <w:pPr>
        <w:rPr>
          <w:rFonts w:eastAsiaTheme="minorHAnsi" w:cs="Arial"/>
          <w:sz w:val="18"/>
          <w:szCs w:val="18"/>
          <w:lang w:val="fr-FR" w:eastAsia="en-US"/>
        </w:rPr>
      </w:pPr>
      <w:hyperlink r:id="rId31" w:history="1">
        <w:r w:rsidR="0024287F" w:rsidRPr="000E432B">
          <w:rPr>
            <w:rStyle w:val="Hiperpovezava"/>
            <w:rFonts w:eastAsiaTheme="minorHAnsi" w:cs="Arial"/>
            <w:sz w:val="18"/>
            <w:szCs w:val="18"/>
            <w:lang w:val="fr-FR" w:eastAsia="en-US"/>
          </w:rPr>
          <w:t>https://cs.wikipedia.org/wiki/Vodn%C3%AD_hospod%C3%A1%C5%99stv%C3%AD_v_%C4%8Cesku</w:t>
        </w:r>
      </w:hyperlink>
      <w:r w:rsidR="0024287F" w:rsidRPr="000E432B">
        <w:rPr>
          <w:rFonts w:eastAsiaTheme="minorHAnsi" w:cs="Arial"/>
          <w:sz w:val="18"/>
          <w:szCs w:val="18"/>
          <w:lang w:val="fr-FR" w:eastAsia="en-US"/>
        </w:rPr>
        <w:t xml:space="preserve"> </w:t>
      </w:r>
    </w:p>
    <w:p w:rsidR="0024287F" w:rsidRPr="000E432B" w:rsidRDefault="0024287F" w:rsidP="0024287F">
      <w:pPr>
        <w:spacing w:line="259" w:lineRule="auto"/>
        <w:rPr>
          <w:rFonts w:cs="Arial"/>
          <w:b/>
          <w:bCs/>
          <w:sz w:val="18"/>
          <w:szCs w:val="18"/>
          <w:lang w:val="fr-FR"/>
        </w:rPr>
      </w:pPr>
    </w:p>
    <w:p w:rsidR="0024287F" w:rsidRPr="0024287F" w:rsidRDefault="0024287F" w:rsidP="0024287F">
      <w:pPr>
        <w:spacing w:line="259" w:lineRule="auto"/>
        <w:rPr>
          <w:rFonts w:cs="Arial"/>
          <w:b/>
          <w:bCs/>
          <w:color w:val="00B0F0"/>
          <w:sz w:val="32"/>
          <w:szCs w:val="32"/>
          <w:lang w:val="en-GB"/>
        </w:rPr>
      </w:pPr>
      <w:r w:rsidRPr="0024287F">
        <w:rPr>
          <w:rFonts w:cs="Arial"/>
          <w:b/>
          <w:bCs/>
          <w:color w:val="00B0F0"/>
          <w:sz w:val="32"/>
          <w:szCs w:val="32"/>
          <w:lang w:val="en-GB"/>
        </w:rPr>
        <w:t xml:space="preserve">Zakonske zahteve in omejitve glede pitja v šolah </w:t>
      </w:r>
    </w:p>
    <w:p w:rsidR="0024287F" w:rsidRPr="000E432B" w:rsidRDefault="0024287F" w:rsidP="0024287F">
      <w:pPr>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b/>
          <w:szCs w:val="22"/>
          <w:lang w:val="en-US" w:eastAsia="en-US"/>
        </w:rPr>
        <w:t xml:space="preserve">Vrtci: </w:t>
      </w:r>
      <w:r w:rsidRPr="000E432B">
        <w:rPr>
          <w:rFonts w:eastAsiaTheme="minorHAnsi" w:cs="Arial"/>
          <w:szCs w:val="22"/>
          <w:lang w:val="en-US" w:eastAsia="en-US"/>
        </w:rPr>
        <w:t>Skladno z veljavno zakonodajo</w:t>
      </w:r>
      <w:r w:rsidRPr="000E432B">
        <w:rPr>
          <w:rFonts w:eastAsiaTheme="minorHAnsi" w:cs="Arial"/>
          <w:b/>
          <w:szCs w:val="22"/>
          <w:lang w:val="en-US" w:eastAsia="en-US"/>
        </w:rPr>
        <w:t xml:space="preserve"> </w:t>
      </w:r>
      <w:r w:rsidRPr="000E432B">
        <w:rPr>
          <w:rFonts w:eastAsiaTheme="minorHAnsi" w:cs="Arial"/>
          <w:szCs w:val="22"/>
          <w:lang w:val="en-US" w:eastAsia="en-US"/>
        </w:rPr>
        <w:t>mora biti v vrtcih zagotovljen celodnevni režim pitja, pri čemer pa količina zaužite tekočine ni predpisana. Ureditev režima pitja in izbor pijač je prepuščen strokovnjakom iz vrtca. Pijače ne smejo biti preveč sladkane, morajo biti naravne, črni čaj se uporablja le poredko. Otrokom, ki so navajeni piti nesladkane pijače, ne ponujamo sladkanih pijač.</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b/>
          <w:szCs w:val="22"/>
          <w:lang w:val="en-US" w:eastAsia="en-US"/>
        </w:rPr>
        <w:t xml:space="preserve">Osnovne šole:  </w:t>
      </w:r>
      <w:r w:rsidRPr="000E432B">
        <w:rPr>
          <w:rFonts w:eastAsiaTheme="minorHAnsi" w:cs="Arial"/>
          <w:szCs w:val="22"/>
          <w:lang w:val="en-US" w:eastAsia="en-US"/>
        </w:rPr>
        <w:t>Na Češkem je zakonsko prepovedana prodaja nezdrave hrane v šolah. V Odloku, ki ga je izdalo Ministrstvo za izobraževanje,  so navedene zahteve za živila in pijače, ki se jih lahko ponuja in prodaja v šolah ali v obratih v bližini šol. Prodaja in oglašuje se lahko živila, ki:</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ne vsebujejo sladil, brezalkoholne pijače z izvlečki čaja</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ne vsebujejo trans maščobnih kisli, pridobljenih iz delno hidrogeniranih maščob</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niso energetske ali stimulirajoče pijače ali niso pijače namenjene športnikom ali ljudem s povečano fizično aktivnostjo</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b/>
          <w:szCs w:val="22"/>
          <w:lang w:val="en-US" w:eastAsia="en-US"/>
        </w:rPr>
      </w:pPr>
      <w:r w:rsidRPr="0024287F">
        <w:rPr>
          <w:rFonts w:eastAsiaTheme="minorHAnsi" w:cs="Arial"/>
          <w:szCs w:val="22"/>
          <w:lang w:val="en-US" w:eastAsia="en-US"/>
        </w:rPr>
        <w:t>Prodaja in oglašuje se lahko sadne, zelenjavne sokove in nektarje</w:t>
      </w:r>
      <w:r w:rsidRPr="000E432B">
        <w:rPr>
          <w:rFonts w:eastAsiaTheme="minorHAnsi" w:cs="Arial"/>
          <w:color w:val="FF0000"/>
          <w:szCs w:val="22"/>
          <w:lang w:val="en-US" w:eastAsia="en-US"/>
        </w:rPr>
        <w:t xml:space="preserve"> </w:t>
      </w:r>
      <w:r w:rsidRPr="00CE40BE">
        <w:rPr>
          <w:rFonts w:eastAsiaTheme="minorHAnsi" w:cs="Arial"/>
          <w:szCs w:val="22"/>
          <w:lang w:val="en-US" w:eastAsia="en-US"/>
        </w:rPr>
        <w:t>brez dodanega sladkorja</w:t>
      </w:r>
      <w:r w:rsidRPr="000E432B">
        <w:rPr>
          <w:rFonts w:eastAsiaTheme="minorHAnsi" w:cs="Arial"/>
          <w:color w:val="FF0000"/>
          <w:szCs w:val="22"/>
          <w:lang w:val="en-US" w:eastAsia="en-US"/>
        </w:rPr>
        <w:t xml:space="preserve">, </w:t>
      </w:r>
      <w:r w:rsidRPr="000E432B">
        <w:rPr>
          <w:rFonts w:eastAsiaTheme="minorHAnsi" w:cs="Arial"/>
          <w:szCs w:val="22"/>
          <w:lang w:val="en-US" w:eastAsia="en-US"/>
        </w:rPr>
        <w:t xml:space="preserve">torej brez:  vseh monosaharidov in disaharidov, ki ne prihajajo iz sadja, zelenjave ali mlečnih izdelkov in imajo višjo energijsko vrednostjo od 3,5 kcal/g, z izjemo mlečnega sladkorja. Dodani sladkorji so tu definirani kot sladkorji, ki jih vsebujejo živila, posebej ta: med, maltoza, melasa, vsi sirupi ter dva - ali večkrat koncentrirani sadni ali zelenjavni sokovi in se jih dodaja z namenom slajenja pijač.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b/>
          <w:szCs w:val="22"/>
          <w:lang w:val="en-US" w:eastAsia="en-US"/>
        </w:rPr>
        <w:t>Prehranske smernice za šole,</w:t>
      </w:r>
      <w:r w:rsidRPr="000E432B">
        <w:rPr>
          <w:rFonts w:eastAsiaTheme="minorHAnsi" w:cs="Arial"/>
          <w:szCs w:val="22"/>
          <w:lang w:val="en-US" w:eastAsia="en-US"/>
        </w:rPr>
        <w:t xml:space="preserve"> Ministrstvo za zdravje, Češka Republika:</w:t>
      </w:r>
      <w:r w:rsidRPr="000E432B">
        <w:rPr>
          <w:rFonts w:eastAsiaTheme="minorHAnsi" w:cs="Arial"/>
          <w:b/>
          <w:szCs w:val="22"/>
          <w:lang w:val="en-US" w:eastAsia="en-US"/>
        </w:rPr>
        <w:t xml:space="preserve"> </w:t>
      </w:r>
      <w:r w:rsidRPr="000E432B">
        <w:rPr>
          <w:rFonts w:eastAsiaTheme="minorHAnsi" w:cs="Arial"/>
          <w:szCs w:val="22"/>
          <w:lang w:val="en-US" w:eastAsia="en-US"/>
        </w:rPr>
        <w:t xml:space="preserve">režim pitja pri šolarjih naj temelji na vodi in ostalih nesladkkanih pijačah. Zato naj šolska kuhinja otrokom nudi nesladkane pijače, ki niso na mlečni osnovi. </w:t>
      </w:r>
    </w:p>
    <w:p w:rsidR="0024287F" w:rsidRDefault="0024287F" w:rsidP="0024287F">
      <w:pPr>
        <w:jc w:val="both"/>
        <w:rPr>
          <w:rFonts w:eastAsiaTheme="minorHAnsi" w:cs="Arial"/>
          <w:color w:val="FF0000"/>
          <w:szCs w:val="22"/>
          <w:lang w:val="en-US" w:eastAsia="en-US"/>
        </w:rPr>
      </w:pPr>
    </w:p>
    <w:p w:rsidR="0024287F" w:rsidRDefault="0024287F" w:rsidP="0024287F">
      <w:pPr>
        <w:jc w:val="both"/>
        <w:rPr>
          <w:rFonts w:eastAsiaTheme="minorHAnsi" w:cs="Arial"/>
          <w:color w:val="FF0000"/>
          <w:szCs w:val="22"/>
          <w:lang w:val="en-US" w:eastAsia="en-US"/>
        </w:rPr>
      </w:pPr>
    </w:p>
    <w:p w:rsidR="0024287F" w:rsidRDefault="0024287F" w:rsidP="0024287F">
      <w:pPr>
        <w:jc w:val="both"/>
        <w:rPr>
          <w:rFonts w:eastAsiaTheme="minorHAnsi" w:cs="Arial"/>
          <w:color w:val="FF0000"/>
          <w:szCs w:val="22"/>
          <w:lang w:val="en-US" w:eastAsia="en-US"/>
        </w:rPr>
      </w:pPr>
    </w:p>
    <w:p w:rsidR="0024287F" w:rsidRPr="000E432B" w:rsidRDefault="0024287F" w:rsidP="0024287F">
      <w:pPr>
        <w:jc w:val="both"/>
        <w:rPr>
          <w:rFonts w:eastAsiaTheme="minorHAnsi" w:cs="Arial"/>
          <w:szCs w:val="22"/>
          <w:lang w:val="en-US" w:eastAsia="en-US"/>
        </w:rPr>
      </w:pPr>
      <w:r w:rsidRPr="00CE40BE">
        <w:rPr>
          <w:rFonts w:eastAsiaTheme="minorHAnsi" w:cs="Arial"/>
          <w:szCs w:val="22"/>
          <w:lang w:val="en-US" w:eastAsia="en-US"/>
        </w:rPr>
        <w:t>Če šola ponuja sladkane pijače, naj hkrati nudi tudi nesladkane</w:t>
      </w:r>
      <w:r w:rsidRPr="000E432B">
        <w:rPr>
          <w:rFonts w:eastAsiaTheme="minorHAnsi" w:cs="Arial"/>
          <w:szCs w:val="22"/>
          <w:lang w:val="en-US" w:eastAsia="en-US"/>
        </w:rPr>
        <w:t xml:space="preserve">. Pitno vodo naj šole ponudijo večkrat dnevno, torej ne samo med obroki ampak čez cel dan, kot del režima pitja. </w:t>
      </w:r>
    </w:p>
    <w:p w:rsidR="0024287F" w:rsidRPr="000E432B" w:rsidRDefault="0024287F" w:rsidP="0024287F">
      <w:pPr>
        <w:jc w:val="both"/>
        <w:rPr>
          <w:rFonts w:eastAsiaTheme="minorHAnsi" w:cs="Arial"/>
          <w:b/>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V praksi naj solske kuhinje vedno ponujajo nesladkane, ne-mlečne pijače (kot vodo, nesladkan čaj, sadni čaj, včasih mineralno vodo). Kot drugo možnost in le izjemoma naj šole ponujajo bodisi mlečne pijače (sladkane, nesladkane) ali druge sladkane pijače.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p>
    <w:p w:rsidR="0024287F" w:rsidRPr="000E432B" w:rsidRDefault="0024287F" w:rsidP="0024287F">
      <w:pPr>
        <w:rPr>
          <w:rFonts w:eastAsiaTheme="minorHAnsi" w:cs="Arial"/>
          <w:b/>
          <w:sz w:val="18"/>
          <w:szCs w:val="18"/>
          <w:lang w:val="en-US" w:eastAsia="en-US"/>
        </w:rPr>
      </w:pPr>
      <w:r w:rsidRPr="000E432B">
        <w:rPr>
          <w:rFonts w:eastAsiaTheme="minorHAnsi" w:cs="Arial"/>
          <w:b/>
          <w:sz w:val="18"/>
          <w:szCs w:val="18"/>
          <w:lang w:val="en-US" w:eastAsia="en-US"/>
        </w:rPr>
        <w:t xml:space="preserve">Vir: </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Nutritional guidance for school food provision, Ministry of Health Czech Republic, 1.9.2015</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Vyhláška o požadavcích na potraviny, pro které je přípustná reklama a které lze nabízet k prodeji a prodávat ve školách a školských zařízeních (Decree on food requirements for which advertising is admissible and can be offered for sale and sold in schools and school establishments ), Ministry of Education Czech Republic, 29.8.2016</w:t>
      </w:r>
    </w:p>
    <w:p w:rsidR="0024287F" w:rsidRDefault="0024287F" w:rsidP="0024287F">
      <w:pPr>
        <w:spacing w:line="259" w:lineRule="auto"/>
        <w:rPr>
          <w:rFonts w:cs="Arial"/>
          <w:b/>
          <w:bCs/>
          <w:color w:val="09AEE9"/>
          <w:sz w:val="48"/>
          <w:szCs w:val="48"/>
          <w:lang w:val="en-GB"/>
        </w:rPr>
      </w:pPr>
      <w:bookmarkStart w:id="9" w:name="_Toc14770442"/>
      <w:bookmarkEnd w:id="8"/>
    </w:p>
    <w:p w:rsidR="0024287F" w:rsidRPr="000E432B" w:rsidRDefault="0024287F" w:rsidP="0024287F">
      <w:pPr>
        <w:spacing w:line="259" w:lineRule="auto"/>
        <w:rPr>
          <w:rFonts w:cs="Arial"/>
          <w:b/>
          <w:bCs/>
          <w:color w:val="09AEE9"/>
          <w:sz w:val="48"/>
          <w:szCs w:val="48"/>
          <w:lang w:val="en-GB"/>
        </w:rPr>
      </w:pPr>
      <w:r w:rsidRPr="000E432B">
        <w:rPr>
          <w:rFonts w:cs="Arial"/>
          <w:b/>
          <w:bCs/>
          <w:color w:val="09AEE9"/>
          <w:sz w:val="48"/>
          <w:szCs w:val="48"/>
          <w:lang w:val="en-GB"/>
        </w:rPr>
        <w:t>Nemčija</w:t>
      </w:r>
    </w:p>
    <w:p w:rsidR="0024287F" w:rsidRPr="000E432B" w:rsidRDefault="0024287F" w:rsidP="0024287F">
      <w:pPr>
        <w:spacing w:line="259" w:lineRule="auto"/>
        <w:rPr>
          <w:rFonts w:cs="Arial"/>
          <w:szCs w:val="22"/>
          <w:lang w:val="en-GB"/>
        </w:rPr>
      </w:pPr>
    </w:p>
    <w:p w:rsidR="0024287F" w:rsidRPr="0024287F" w:rsidRDefault="0024287F" w:rsidP="0024287F">
      <w:pPr>
        <w:spacing w:line="259" w:lineRule="auto"/>
        <w:rPr>
          <w:rFonts w:cs="Arial"/>
          <w:b/>
          <w:bCs/>
          <w:color w:val="00B0F0"/>
          <w:sz w:val="32"/>
          <w:szCs w:val="32"/>
          <w:lang w:val="sl-SI"/>
        </w:rPr>
      </w:pPr>
      <w:r w:rsidRPr="0024287F">
        <w:rPr>
          <w:rFonts w:cs="Arial"/>
          <w:b/>
          <w:bCs/>
          <w:color w:val="00B0F0"/>
          <w:sz w:val="32"/>
          <w:szCs w:val="32"/>
          <w:lang w:val="sl-SI"/>
        </w:rPr>
        <w:t xml:space="preserve">Navade pri uživanju pijač pri otrocih in mladostnikih </w:t>
      </w:r>
    </w:p>
    <w:p w:rsidR="0024287F" w:rsidRPr="000E432B" w:rsidRDefault="0024287F" w:rsidP="0024287F">
      <w:pPr>
        <w:spacing w:line="259" w:lineRule="auto"/>
        <w:rPr>
          <w:rFonts w:cs="Arial"/>
          <w:b/>
          <w:bCs/>
          <w:color w:val="09AEE9"/>
          <w:szCs w:val="22"/>
          <w:lang w:val="en-GB"/>
        </w:rPr>
      </w:pPr>
    </w:p>
    <w:p w:rsidR="0024287F" w:rsidRPr="000E432B" w:rsidRDefault="0024287F" w:rsidP="0024287F">
      <w:pPr>
        <w:rPr>
          <w:rFonts w:eastAsiaTheme="minorEastAsia" w:cs="Arial"/>
          <w:bCs/>
          <w:szCs w:val="22"/>
          <w:lang w:val="en-US" w:eastAsia="en-US"/>
        </w:rPr>
      </w:pPr>
      <w:r w:rsidRPr="000E432B">
        <w:rPr>
          <w:rFonts w:eastAsiaTheme="minorEastAsia" w:cs="Arial"/>
          <w:b/>
          <w:bCs/>
          <w:szCs w:val="22"/>
          <w:lang w:val="en-US" w:eastAsia="en-US"/>
        </w:rPr>
        <w:t xml:space="preserve">Starost  5-10 let: </w:t>
      </w:r>
      <w:r w:rsidRPr="000E432B">
        <w:rPr>
          <w:rFonts w:eastAsiaTheme="minorEastAsia" w:cs="Arial"/>
          <w:bCs/>
          <w:szCs w:val="22"/>
          <w:lang w:val="en-US" w:eastAsia="en-US"/>
        </w:rPr>
        <w:t xml:space="preserve">Otroci te starosti spijeno v povprečju </w:t>
      </w:r>
      <w:r w:rsidRPr="000E432B">
        <w:rPr>
          <w:rFonts w:eastAsia="Arial Narrow" w:cs="Arial"/>
          <w:szCs w:val="22"/>
        </w:rPr>
        <w:t xml:space="preserve">800-900 ml / dan, od tega je 41-45% vode, približno 27% sadni sokovi in 19% gazirane pijače. </w:t>
      </w:r>
    </w:p>
    <w:p w:rsidR="0024287F" w:rsidRPr="000E432B" w:rsidRDefault="0024287F" w:rsidP="0024287F">
      <w:pPr>
        <w:rPr>
          <w:rFonts w:eastAsiaTheme="minorEastAsia" w:cs="Arial"/>
          <w:b/>
          <w:bCs/>
          <w:szCs w:val="22"/>
          <w:lang w:val="en-US" w:eastAsia="en-US"/>
        </w:rPr>
      </w:pPr>
    </w:p>
    <w:p w:rsidR="0024287F" w:rsidRPr="000E432B" w:rsidRDefault="0024287F" w:rsidP="0024287F">
      <w:pPr>
        <w:rPr>
          <w:rFonts w:eastAsia="Arial Narrow" w:cs="Arial"/>
          <w:szCs w:val="22"/>
          <w:lang w:val="en-US"/>
        </w:rPr>
      </w:pPr>
      <w:r w:rsidRPr="000E432B">
        <w:rPr>
          <w:rFonts w:eastAsia="Arial Narrow" w:cs="Arial"/>
          <w:b/>
          <w:bCs/>
          <w:szCs w:val="22"/>
          <w:lang w:val="en-US"/>
        </w:rPr>
        <w:t>Dečki  (14-18 let)</w:t>
      </w:r>
      <w:r w:rsidRPr="000E432B">
        <w:rPr>
          <w:rFonts w:eastAsia="Arial Narrow" w:cs="Arial"/>
          <w:szCs w:val="22"/>
          <w:lang w:val="en-US"/>
        </w:rPr>
        <w:t xml:space="preserve">: Dečki te starosti spijejo v povprečju 2262 ml/dan, od česar je 1069 ml voda, 116 ml kava in črni čaj, 82 ml zeliščni ali sadni aromatizirani čaji, 460 ml sadni sokovi, 505 ml limonada in 30 ml ostale pijače s sadnimi sokovi ali druge pijače. </w:t>
      </w:r>
    </w:p>
    <w:p w:rsidR="0024287F" w:rsidRPr="000E432B" w:rsidRDefault="0024287F" w:rsidP="0024287F">
      <w:pPr>
        <w:rPr>
          <w:rFonts w:eastAsia="Arial Narrow" w:cs="Arial"/>
          <w:szCs w:val="22"/>
          <w:lang w:val="en-US"/>
        </w:rPr>
      </w:pPr>
    </w:p>
    <w:p w:rsidR="0024287F" w:rsidRPr="000E432B" w:rsidRDefault="0024287F" w:rsidP="0024287F">
      <w:pPr>
        <w:rPr>
          <w:rFonts w:eastAsia="Arial Narrow" w:cs="Arial"/>
          <w:szCs w:val="22"/>
          <w:lang w:val="en-US"/>
        </w:rPr>
      </w:pPr>
      <w:r w:rsidRPr="000E432B">
        <w:rPr>
          <w:rFonts w:eastAsia="Arial Narrow" w:cs="Arial"/>
          <w:b/>
          <w:bCs/>
          <w:szCs w:val="22"/>
          <w:lang w:val="en-US"/>
        </w:rPr>
        <w:t xml:space="preserve">Deklice (14-18 let): </w:t>
      </w:r>
      <w:r w:rsidRPr="000E432B">
        <w:rPr>
          <w:rFonts w:eastAsia="Arial Narrow" w:cs="Arial"/>
          <w:bCs/>
          <w:szCs w:val="22"/>
          <w:lang w:val="en-US"/>
        </w:rPr>
        <w:t>Deklice v ti starosti  pijejo precej manj v primerjavi z dečki.</w:t>
      </w:r>
      <w:r w:rsidRPr="000E432B">
        <w:rPr>
          <w:rFonts w:eastAsia="Arial Narrow" w:cs="Arial"/>
          <w:b/>
          <w:bCs/>
          <w:szCs w:val="22"/>
          <w:lang w:val="en-US"/>
        </w:rPr>
        <w:t xml:space="preserve"> </w:t>
      </w:r>
      <w:r w:rsidRPr="000E432B">
        <w:rPr>
          <w:rFonts w:eastAsia="Arial Narrow" w:cs="Arial"/>
          <w:bCs/>
          <w:szCs w:val="22"/>
          <w:lang w:val="en-US"/>
        </w:rPr>
        <w:t>Na dan popijejo približno</w:t>
      </w:r>
      <w:r w:rsidRPr="000E432B">
        <w:rPr>
          <w:rFonts w:eastAsia="Arial Narrow" w:cs="Arial"/>
          <w:b/>
          <w:bCs/>
          <w:szCs w:val="22"/>
          <w:lang w:val="en-US"/>
        </w:rPr>
        <w:t xml:space="preserve"> </w:t>
      </w:r>
      <w:r w:rsidRPr="000E432B">
        <w:rPr>
          <w:rFonts w:eastAsia="Arial Narrow" w:cs="Arial"/>
          <w:szCs w:val="22"/>
          <w:lang w:val="en-US"/>
        </w:rPr>
        <w:t xml:space="preserve">1909 ml, od česar 963 ml predstavlja voda, 118 ml kava in črni čaj, 160 ml zeliščni ali sadni aromatizirani čaji, 383 ml sadni sokovi, 260 ml limonada in 24 ml ostale pijače s sadnimi sokovi ali druge pijače. </w:t>
      </w:r>
    </w:p>
    <w:p w:rsidR="0024287F" w:rsidRPr="000E432B" w:rsidRDefault="0024287F" w:rsidP="0024287F">
      <w:pPr>
        <w:rPr>
          <w:rFonts w:eastAsia="Arial Narrow" w:cs="Arial"/>
          <w:b/>
          <w:bCs/>
          <w:szCs w:val="22"/>
          <w:lang w:val="en-US"/>
        </w:rPr>
      </w:pPr>
    </w:p>
    <w:p w:rsidR="0024287F" w:rsidRPr="000E432B" w:rsidRDefault="0024287F" w:rsidP="0024287F">
      <w:pPr>
        <w:rPr>
          <w:rFonts w:eastAsiaTheme="minorHAnsi" w:cs="Arial"/>
          <w:b/>
          <w:sz w:val="18"/>
          <w:szCs w:val="18"/>
          <w:lang w:val="fr-FR" w:eastAsia="en-US"/>
        </w:rPr>
      </w:pPr>
      <w:r w:rsidRPr="000E432B">
        <w:rPr>
          <w:rFonts w:eastAsiaTheme="minorHAnsi" w:cs="Arial"/>
          <w:b/>
          <w:sz w:val="18"/>
          <w:szCs w:val="18"/>
          <w:lang w:val="fr-FR" w:eastAsia="en-US"/>
        </w:rPr>
        <w:t>Viri:</w:t>
      </w:r>
    </w:p>
    <w:p w:rsidR="0024287F" w:rsidRPr="000E432B" w:rsidRDefault="0024287F" w:rsidP="0024287F">
      <w:pPr>
        <w:rPr>
          <w:rFonts w:eastAsiaTheme="minorHAnsi" w:cs="Arial"/>
          <w:sz w:val="18"/>
          <w:szCs w:val="18"/>
          <w:lang w:eastAsia="en-US"/>
        </w:rPr>
      </w:pPr>
      <w:r w:rsidRPr="000E432B">
        <w:rPr>
          <w:rFonts w:eastAsiaTheme="minorHAnsi" w:cs="Arial"/>
          <w:sz w:val="18"/>
          <w:szCs w:val="18"/>
          <w:lang w:val="fr-FR" w:eastAsia="en-US"/>
        </w:rPr>
        <w:t xml:space="preserve">Max Rubner Institut (Hg.) </w:t>
      </w:r>
      <w:r w:rsidRPr="000E432B">
        <w:rPr>
          <w:rFonts w:eastAsiaTheme="minorHAnsi" w:cs="Arial"/>
          <w:sz w:val="18"/>
          <w:szCs w:val="18"/>
          <w:lang w:eastAsia="en-US"/>
        </w:rPr>
        <w:t>(2007), Forschungsbericht EsKiMo – Ernährungsstudie als KiGGS-Modul, Bonn, Berlin, Paderborn, Seite 51</w:t>
      </w:r>
    </w:p>
    <w:p w:rsidR="0024287F" w:rsidRPr="000E432B" w:rsidRDefault="00B224C0" w:rsidP="0024287F">
      <w:pPr>
        <w:rPr>
          <w:rFonts w:eastAsiaTheme="minorHAnsi" w:cs="Arial"/>
          <w:sz w:val="18"/>
          <w:szCs w:val="18"/>
          <w:lang w:val="en-US" w:eastAsia="en-US"/>
        </w:rPr>
      </w:pPr>
      <w:hyperlink r:id="rId32" w:history="1">
        <w:r w:rsidR="0024287F" w:rsidRPr="000E432B">
          <w:rPr>
            <w:rFonts w:eastAsiaTheme="minorHAnsi" w:cs="Arial"/>
            <w:sz w:val="18"/>
            <w:szCs w:val="18"/>
            <w:lang w:val="en-US" w:eastAsia="en-US"/>
          </w:rPr>
          <w:t>https://www.bmel.de/SharedDocs/Downloads/Ernaehrung/EsKiMoStudie.pdf?__blob=publicationFile</w:t>
        </w:r>
      </w:hyperlink>
      <w:r w:rsidR="0024287F" w:rsidRPr="000E432B">
        <w:rPr>
          <w:rFonts w:eastAsiaTheme="minorHAnsi" w:cs="Arial"/>
          <w:sz w:val="18"/>
          <w:szCs w:val="18"/>
          <w:lang w:val="en-US" w:eastAsia="en-US"/>
        </w:rPr>
        <w:t xml:space="preserve"> (Access: 19.11.2018) P. 51</w:t>
      </w:r>
    </w:p>
    <w:p w:rsidR="0024287F" w:rsidRPr="000E432B" w:rsidRDefault="0024287F" w:rsidP="0024287F">
      <w:pPr>
        <w:rPr>
          <w:rFonts w:eastAsiaTheme="minorHAnsi" w:cs="Arial"/>
          <w:sz w:val="18"/>
          <w:szCs w:val="18"/>
          <w:lang w:eastAsia="en-US"/>
        </w:rPr>
      </w:pPr>
      <w:r w:rsidRPr="000E432B">
        <w:rPr>
          <w:rFonts w:eastAsiaTheme="minorHAnsi" w:cs="Arial"/>
          <w:sz w:val="18"/>
          <w:szCs w:val="18"/>
          <w:lang w:eastAsia="en-US"/>
        </w:rPr>
        <w:t>Max Rubner Institut (Hg.) (2008), Nationale Verzehrsstudie II: die bundesweite Befragung zur Ernährung von Jugendlichen und Erwachsenen, Karlsruhe, Seite 54 https://www.bmel.de/SharedDocs/Downloads/Ernaehrung/NVS_ErgebnisberichtTeil2.pdf?__blob=publicationFile (</w:t>
      </w:r>
      <w:r>
        <w:rPr>
          <w:rFonts w:eastAsiaTheme="minorHAnsi" w:cs="Arial"/>
          <w:sz w:val="18"/>
          <w:szCs w:val="18"/>
          <w:lang w:eastAsia="en-US"/>
        </w:rPr>
        <w:t>Dostop</w:t>
      </w:r>
      <w:r w:rsidRPr="000E432B">
        <w:rPr>
          <w:rFonts w:eastAsiaTheme="minorHAnsi" w:cs="Arial"/>
          <w:sz w:val="18"/>
          <w:szCs w:val="18"/>
          <w:lang w:eastAsia="en-US"/>
        </w:rPr>
        <w:t>: 16.11.2018) P.54</w:t>
      </w:r>
    </w:p>
    <w:p w:rsidR="0024287F" w:rsidRPr="000E432B" w:rsidRDefault="0024287F" w:rsidP="0024287F">
      <w:pPr>
        <w:jc w:val="both"/>
        <w:rPr>
          <w:rFonts w:eastAsiaTheme="minorHAnsi" w:cs="Arial"/>
          <w:szCs w:val="22"/>
          <w:lang w:eastAsia="en-US"/>
        </w:rPr>
      </w:pPr>
    </w:p>
    <w:p w:rsidR="0024287F" w:rsidRPr="0024287F" w:rsidRDefault="0024287F" w:rsidP="0024287F">
      <w:pPr>
        <w:spacing w:line="259" w:lineRule="auto"/>
        <w:rPr>
          <w:rFonts w:cs="Arial"/>
          <w:b/>
          <w:bCs/>
          <w:color w:val="00B0F0"/>
          <w:sz w:val="32"/>
          <w:szCs w:val="32"/>
          <w:lang w:val="sl-SI"/>
        </w:rPr>
      </w:pPr>
      <w:r w:rsidRPr="0024287F">
        <w:rPr>
          <w:rFonts w:cs="Arial"/>
          <w:b/>
          <w:bCs/>
          <w:color w:val="00B0F0"/>
          <w:sz w:val="32"/>
          <w:szCs w:val="32"/>
          <w:lang w:val="sl-SI"/>
        </w:rPr>
        <w:t xml:space="preserve">Stopnja debelosti, prekomerne telesne teže in kariesa med otroci/mladino </w:t>
      </w:r>
    </w:p>
    <w:p w:rsidR="0024287F" w:rsidRPr="000E432B" w:rsidRDefault="0024287F" w:rsidP="0024287F">
      <w:pPr>
        <w:rPr>
          <w:rFonts w:eastAsiaTheme="minorHAnsi" w:cs="Arial"/>
          <w:szCs w:val="22"/>
          <w:lang w:val="en-US" w:eastAsia="en-US"/>
        </w:rPr>
      </w:pPr>
    </w:p>
    <w:p w:rsidR="0024287F" w:rsidRPr="000E432B" w:rsidRDefault="0024287F" w:rsidP="0024287F">
      <w:pPr>
        <w:rPr>
          <w:rFonts w:eastAsia="Arial Narrow" w:cs="Arial"/>
          <w:szCs w:val="22"/>
          <w:lang w:val="en-US"/>
        </w:rPr>
      </w:pPr>
      <w:r w:rsidRPr="000E432B">
        <w:rPr>
          <w:rFonts w:eastAsia="Arial Narrow" w:cs="Arial"/>
          <w:szCs w:val="22"/>
          <w:lang w:val="en-US"/>
        </w:rPr>
        <w:t xml:space="preserve">Ugotovili so, da je 9%otrok starih 3 - 6 let, ki so sodelovali v raziskavi, pretežkih, od tega pa 2,9% debelih. </w:t>
      </w:r>
    </w:p>
    <w:p w:rsidR="0024287F" w:rsidRPr="000E432B" w:rsidRDefault="0024287F" w:rsidP="0024287F">
      <w:pPr>
        <w:rPr>
          <w:rFonts w:eastAsia="Arial Narrow" w:cs="Arial"/>
          <w:szCs w:val="22"/>
          <w:lang w:val="en-US"/>
        </w:rPr>
      </w:pPr>
      <w:r w:rsidRPr="000E432B">
        <w:rPr>
          <w:rFonts w:eastAsia="Arial Narrow" w:cs="Arial"/>
          <w:szCs w:val="22"/>
          <w:lang w:val="en-US"/>
        </w:rPr>
        <w:t xml:space="preserve">Pri starosti otrok 7 - 10 let je bilo pretežkih 15%, 6,4 % od teh pa je bilo debelih. </w:t>
      </w:r>
    </w:p>
    <w:p w:rsidR="0024287F" w:rsidRPr="000E432B" w:rsidRDefault="0024287F" w:rsidP="0024287F">
      <w:pPr>
        <w:rPr>
          <w:rFonts w:eastAsia="Arial Narrow" w:cs="Arial"/>
          <w:szCs w:val="22"/>
          <w:lang w:val="en-US"/>
        </w:rPr>
      </w:pPr>
      <w:r w:rsidRPr="000E432B">
        <w:rPr>
          <w:rFonts w:eastAsia="Arial Narrow" w:cs="Arial"/>
          <w:szCs w:val="22"/>
          <w:lang w:val="en-US"/>
        </w:rPr>
        <w:t xml:space="preserve">V starostni skupini od 14 - 17 let pa je bilo 17% pretežkih, od tega 8,4% debelih.  </w:t>
      </w:r>
    </w:p>
    <w:p w:rsidR="0024287F" w:rsidRPr="000E432B" w:rsidRDefault="0024287F" w:rsidP="0024287F">
      <w:pPr>
        <w:rPr>
          <w:rFonts w:eastAsia="Arial Narrow" w:cs="Arial"/>
          <w:szCs w:val="22"/>
          <w:lang w:val="en-US"/>
        </w:rPr>
      </w:pPr>
      <w:r w:rsidRPr="000E432B">
        <w:rPr>
          <w:rFonts w:eastAsia="Arial Narrow" w:cs="Arial"/>
          <w:szCs w:val="22"/>
          <w:lang w:val="en-US"/>
        </w:rPr>
        <w:t xml:space="preserve">Pregled oralnega zdravja pa je pokazal, da 8 od 10 otrok (81,3%) v starosti 12 let nima kariesa. Nemčija je s temi podatki mednarodno in svetovno v samam vrhu. </w:t>
      </w:r>
    </w:p>
    <w:p w:rsidR="0024287F" w:rsidRPr="000E432B" w:rsidRDefault="0024287F" w:rsidP="0024287F">
      <w:pPr>
        <w:rPr>
          <w:rFonts w:eastAsia="Arial Narrow" w:cs="Arial"/>
          <w:szCs w:val="22"/>
          <w:lang w:val="en-US"/>
        </w:rPr>
      </w:pPr>
    </w:p>
    <w:p w:rsidR="0024287F" w:rsidRDefault="0024287F" w:rsidP="0024287F">
      <w:pPr>
        <w:rPr>
          <w:rFonts w:eastAsiaTheme="minorHAnsi" w:cs="Arial"/>
          <w:b/>
          <w:sz w:val="18"/>
          <w:szCs w:val="18"/>
          <w:lang w:eastAsia="en-US"/>
        </w:rPr>
      </w:pPr>
    </w:p>
    <w:p w:rsidR="0024287F" w:rsidRPr="000E432B" w:rsidRDefault="0024287F" w:rsidP="0024287F">
      <w:pPr>
        <w:rPr>
          <w:rFonts w:eastAsiaTheme="minorHAnsi" w:cs="Arial"/>
          <w:b/>
          <w:sz w:val="18"/>
          <w:szCs w:val="18"/>
          <w:lang w:eastAsia="en-US"/>
        </w:rPr>
      </w:pPr>
      <w:r w:rsidRPr="000E432B">
        <w:rPr>
          <w:rFonts w:eastAsiaTheme="minorHAnsi" w:cs="Arial"/>
          <w:b/>
          <w:sz w:val="18"/>
          <w:szCs w:val="18"/>
          <w:lang w:eastAsia="en-US"/>
        </w:rPr>
        <w:lastRenderedPageBreak/>
        <w:t xml:space="preserve">Vir: </w:t>
      </w:r>
    </w:p>
    <w:p w:rsidR="0024287F" w:rsidRPr="000E432B" w:rsidRDefault="0024287F" w:rsidP="0024287F">
      <w:pPr>
        <w:rPr>
          <w:rFonts w:eastAsiaTheme="minorHAnsi" w:cs="Arial"/>
          <w:sz w:val="18"/>
          <w:szCs w:val="18"/>
          <w:lang w:eastAsia="en-US"/>
        </w:rPr>
      </w:pPr>
      <w:r w:rsidRPr="000E432B">
        <w:rPr>
          <w:rFonts w:eastAsiaTheme="minorHAnsi" w:cs="Arial"/>
          <w:sz w:val="18"/>
          <w:szCs w:val="18"/>
          <w:lang w:eastAsia="en-US"/>
        </w:rPr>
        <w:t>Bundeszentrale für gesundheitliche Aufklärung (https://www.bzga-kinderuebergewicht.de/vertiefende-informationen/fakten-und-folgen/uebergewicht-in-zahlen/, Zugriff: 19.11.2018) Primärquelle: KiGGs</w:t>
      </w:r>
    </w:p>
    <w:p w:rsidR="0024287F" w:rsidRPr="000E432B" w:rsidRDefault="0024287F" w:rsidP="0024287F">
      <w:pPr>
        <w:rPr>
          <w:rFonts w:eastAsiaTheme="minorHAnsi" w:cs="Arial"/>
          <w:sz w:val="18"/>
          <w:szCs w:val="18"/>
          <w:lang w:eastAsia="en-US"/>
        </w:rPr>
      </w:pPr>
      <w:r w:rsidRPr="000E432B">
        <w:rPr>
          <w:rFonts w:eastAsiaTheme="minorHAnsi" w:cs="Arial"/>
          <w:sz w:val="18"/>
          <w:szCs w:val="18"/>
          <w:lang w:eastAsia="en-US"/>
        </w:rPr>
        <w:t>Source: Kassenärztliche Bundesvereinigung, Bundeszahnärztekammer (Hg.) (2016): Fünfte deutsche Mundgesundheitsstudie (DMS V). Berlin, S.8</w:t>
      </w:r>
    </w:p>
    <w:p w:rsidR="0024287F" w:rsidRPr="000E432B" w:rsidRDefault="0024287F" w:rsidP="0024287F">
      <w:pPr>
        <w:rPr>
          <w:rFonts w:eastAsiaTheme="minorHAnsi" w:cs="Arial"/>
          <w:sz w:val="18"/>
          <w:szCs w:val="18"/>
          <w:lang w:eastAsia="en-US"/>
        </w:rPr>
      </w:pPr>
      <w:r w:rsidRPr="000E432B">
        <w:rPr>
          <w:rFonts w:eastAsiaTheme="minorHAnsi" w:cs="Arial"/>
          <w:sz w:val="18"/>
          <w:szCs w:val="18"/>
          <w:lang w:eastAsia="en-US"/>
        </w:rPr>
        <w:t>https://www.bzaek.de/fileadmin/PDFs/dms/Zusammenfassung_DMS_V.pdf (Zugriff: 19.11.2018)</w:t>
      </w:r>
    </w:p>
    <w:p w:rsidR="0024287F" w:rsidRPr="000E432B" w:rsidRDefault="0024287F" w:rsidP="0024287F">
      <w:pPr>
        <w:rPr>
          <w:rFonts w:eastAsiaTheme="minorHAnsi" w:cs="Arial"/>
          <w:sz w:val="18"/>
          <w:szCs w:val="18"/>
          <w:lang w:eastAsia="en-US"/>
        </w:rPr>
      </w:pPr>
    </w:p>
    <w:p w:rsidR="0024287F" w:rsidRPr="0024287F" w:rsidRDefault="0024287F" w:rsidP="0024287F">
      <w:pPr>
        <w:spacing w:line="259" w:lineRule="auto"/>
        <w:rPr>
          <w:rFonts w:cs="Arial"/>
          <w:b/>
          <w:bCs/>
          <w:color w:val="00B0F0"/>
          <w:sz w:val="32"/>
          <w:szCs w:val="32"/>
          <w:lang w:val="en-GB"/>
        </w:rPr>
      </w:pPr>
      <w:r w:rsidRPr="0024287F">
        <w:rPr>
          <w:rFonts w:cs="Arial"/>
          <w:b/>
          <w:bCs/>
          <w:color w:val="00B0F0"/>
          <w:sz w:val="32"/>
          <w:szCs w:val="32"/>
          <w:lang w:val="en-GB"/>
        </w:rPr>
        <w:t xml:space="preserve">Dostop do čiste pitne vode  </w:t>
      </w:r>
    </w:p>
    <w:p w:rsidR="0024287F" w:rsidRPr="000E432B" w:rsidRDefault="0024287F" w:rsidP="00242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sz w:val="18"/>
          <w:szCs w:val="18"/>
          <w:lang w:val="en-US" w:eastAsia="en-US"/>
        </w:rPr>
      </w:pPr>
      <w:r w:rsidRPr="000E432B">
        <w:rPr>
          <w:rFonts w:eastAsiaTheme="minorHAnsi" w:cs="Arial"/>
          <w:b/>
          <w:noProof/>
          <w:sz w:val="18"/>
          <w:szCs w:val="18"/>
          <w:lang w:val="sl-SI" w:eastAsia="sl-SI"/>
        </w:rPr>
        <w:drawing>
          <wp:anchor distT="0" distB="0" distL="114300" distR="114300" simplePos="0" relativeHeight="251675648" behindDoc="1" locked="0" layoutInCell="1" allowOverlap="1">
            <wp:simplePos x="0" y="0"/>
            <wp:positionH relativeFrom="column">
              <wp:posOffset>2433955</wp:posOffset>
            </wp:positionH>
            <wp:positionV relativeFrom="paragraph">
              <wp:posOffset>78740</wp:posOffset>
            </wp:positionV>
            <wp:extent cx="3467100" cy="1981200"/>
            <wp:effectExtent l="19050" t="0" r="19050" b="0"/>
            <wp:wrapTight wrapText="bothSides">
              <wp:wrapPolygon edited="0">
                <wp:start x="-119" y="0"/>
                <wp:lineTo x="-119" y="21600"/>
                <wp:lineTo x="21719" y="21600"/>
                <wp:lineTo x="21719" y="0"/>
                <wp:lineTo x="-119" y="0"/>
              </wp:wrapPolygon>
            </wp:wrapTight>
            <wp:docPr id="12" name="Diagramm 14">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 xmlns:cx="http://schemas.microsoft.com/office/drawing/2014/chartex" xmlns:cx1="http://schemas.microsoft.com/office/drawing/2015/9/8/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A4E2AE3E-7F55-4D21-92BD-D8A79CD7EA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rsidR="0024287F" w:rsidRPr="000E432B" w:rsidRDefault="0024287F" w:rsidP="0024287F">
      <w:pPr>
        <w:spacing w:after="160" w:line="259" w:lineRule="auto"/>
        <w:rPr>
          <w:rFonts w:eastAsiaTheme="minorEastAsia" w:cs="Arial"/>
          <w:b/>
          <w:bCs/>
          <w:szCs w:val="22"/>
          <w:lang w:val="en-US" w:eastAsia="en-US"/>
        </w:rPr>
      </w:pPr>
      <w:r w:rsidRPr="000E432B">
        <w:rPr>
          <w:rFonts w:eastAsiaTheme="minorEastAsia" w:cs="Arial"/>
          <w:b/>
          <w:bCs/>
          <w:szCs w:val="22"/>
          <w:lang w:val="en-US" w:eastAsia="en-US"/>
        </w:rPr>
        <w:t xml:space="preserve">Vodni viri v Nemčiji </w:t>
      </w:r>
    </w:p>
    <w:p w:rsidR="0024287F" w:rsidRPr="000E432B" w:rsidRDefault="0024287F" w:rsidP="0024287F">
      <w:pPr>
        <w:rPr>
          <w:rFonts w:eastAsia="Arial Narrow" w:cs="Arial"/>
          <w:szCs w:val="22"/>
          <w:lang w:val="en-US"/>
        </w:rPr>
      </w:pPr>
      <w:r w:rsidRPr="000E432B">
        <w:rPr>
          <w:rFonts w:eastAsia="Arial Narrow" w:cs="Arial"/>
          <w:szCs w:val="22"/>
          <w:lang w:val="en-US"/>
        </w:rPr>
        <w:t>Viri pitne vode v Nemčiji so razdeljeni na:</w:t>
      </w:r>
    </w:p>
    <w:p w:rsidR="0024287F" w:rsidRPr="000E432B" w:rsidRDefault="0024287F" w:rsidP="0024287F">
      <w:pPr>
        <w:rPr>
          <w:rFonts w:eastAsia="Arial Narrow" w:cs="Arial"/>
          <w:szCs w:val="22"/>
          <w:lang w:val="en-US"/>
        </w:rPr>
      </w:pPr>
      <w:r w:rsidRPr="000E432B">
        <w:rPr>
          <w:rFonts w:eastAsia="Arial Narrow" w:cs="Arial"/>
          <w:szCs w:val="22"/>
          <w:lang w:val="en-US"/>
        </w:rPr>
        <w:t xml:space="preserve"> - talno vodo 68%,</w:t>
      </w:r>
    </w:p>
    <w:p w:rsidR="0024287F" w:rsidRPr="000E432B" w:rsidRDefault="0024287F" w:rsidP="0024287F">
      <w:pPr>
        <w:rPr>
          <w:rFonts w:eastAsia="Arial Narrow" w:cs="Arial"/>
          <w:szCs w:val="22"/>
          <w:lang w:val="en-US"/>
        </w:rPr>
      </w:pPr>
      <w:r w:rsidRPr="000E432B">
        <w:rPr>
          <w:rFonts w:eastAsia="Arial Narrow" w:cs="Arial"/>
          <w:szCs w:val="22"/>
          <w:lang w:val="en-US"/>
        </w:rPr>
        <w:t xml:space="preserve">- 15 % obdelana površinska voda </w:t>
      </w:r>
    </w:p>
    <w:p w:rsidR="0024287F" w:rsidRPr="000E432B" w:rsidRDefault="0024287F" w:rsidP="0024287F">
      <w:pPr>
        <w:rPr>
          <w:rFonts w:eastAsia="Arial Narrow" w:cs="Arial"/>
          <w:szCs w:val="22"/>
          <w:lang w:val="en-US"/>
        </w:rPr>
      </w:pPr>
      <w:r w:rsidRPr="000E432B">
        <w:rPr>
          <w:rFonts w:eastAsia="Arial Narrow" w:cs="Arial"/>
          <w:szCs w:val="22"/>
          <w:lang w:val="en-US"/>
        </w:rPr>
        <w:t xml:space="preserve">-  8% izvirska voda . </w:t>
      </w:r>
    </w:p>
    <w:p w:rsidR="0024287F" w:rsidRPr="000E432B" w:rsidRDefault="0024287F" w:rsidP="0024287F">
      <w:pPr>
        <w:rPr>
          <w:rFonts w:cs="Arial"/>
          <w:lang w:val="en-US"/>
        </w:rPr>
      </w:pPr>
      <w:r w:rsidRPr="000E432B">
        <w:rPr>
          <w:rFonts w:eastAsia="Arial Narrow" w:cs="Arial"/>
          <w:szCs w:val="22"/>
          <w:lang w:val="en-US"/>
        </w:rPr>
        <w:t>-  8% preostala voda iz drugih vodnih virov - npr. jezera, reke, jezi.</w:t>
      </w:r>
    </w:p>
    <w:p w:rsidR="0024287F" w:rsidRPr="000E432B" w:rsidRDefault="0024287F" w:rsidP="0024287F">
      <w:pPr>
        <w:rPr>
          <w:rFonts w:eastAsiaTheme="minorEastAsia" w:cs="Arial"/>
          <w:szCs w:val="22"/>
          <w:lang w:val="en-US" w:eastAsia="en-US"/>
        </w:rPr>
      </w:pPr>
    </w:p>
    <w:p w:rsidR="0024287F" w:rsidRPr="000E432B" w:rsidRDefault="0024287F" w:rsidP="0024287F">
      <w:pPr>
        <w:rPr>
          <w:rFonts w:eastAsiaTheme="minorHAnsi" w:cs="Arial"/>
          <w:szCs w:val="22"/>
          <w:lang w:val="en-US" w:eastAsia="en-US"/>
        </w:rPr>
      </w:pPr>
    </w:p>
    <w:p w:rsidR="0024287F" w:rsidRPr="000E432B" w:rsidRDefault="0024287F" w:rsidP="0024287F">
      <w:pPr>
        <w:rPr>
          <w:rFonts w:eastAsiaTheme="minorHAnsi" w:cs="Arial"/>
          <w:szCs w:val="22"/>
          <w:lang w:val="en-US" w:eastAsia="en-US"/>
        </w:rPr>
      </w:pPr>
    </w:p>
    <w:p w:rsidR="0024287F" w:rsidRPr="000E432B" w:rsidRDefault="0024287F" w:rsidP="0024287F">
      <w:pPr>
        <w:rPr>
          <w:rFonts w:eastAsiaTheme="minorHAnsi" w:cs="Arial"/>
          <w:szCs w:val="22"/>
          <w:lang w:val="en-US" w:eastAsia="en-US"/>
        </w:rPr>
      </w:pPr>
    </w:p>
    <w:p w:rsidR="0024287F" w:rsidRPr="000E432B" w:rsidRDefault="0024287F" w:rsidP="0024287F">
      <w:pPr>
        <w:spacing w:after="160" w:line="259" w:lineRule="auto"/>
        <w:rPr>
          <w:rFonts w:eastAsiaTheme="minorHAnsi" w:cs="Arial"/>
          <w:b/>
          <w:szCs w:val="22"/>
          <w:lang w:val="en-US" w:eastAsia="en-US"/>
        </w:rPr>
      </w:pPr>
      <w:r w:rsidRPr="000E432B">
        <w:rPr>
          <w:rFonts w:eastAsiaTheme="minorHAnsi" w:cs="Arial"/>
          <w:b/>
          <w:szCs w:val="22"/>
          <w:lang w:val="en-US" w:eastAsia="en-US"/>
        </w:rPr>
        <w:t xml:space="preserve">Oskrba vrtcev in šol z varno pitno vodo </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V Nemčiji je skoraj nemogoče biti brez dostopa do varne pitne vode. Pravila glede pitne vode so zakonsko določena. Težave bi lahko nastale zaradi starih vodovodnih cevi, ki pa jih pooblaščene osebe običajno pregledujejo in zamenjajo, če je to potrebno. Večina stavb dandanes pa teh težav nima. </w:t>
      </w:r>
    </w:p>
    <w:p w:rsidR="0024287F" w:rsidRPr="000E432B" w:rsidRDefault="0024287F" w:rsidP="0024287F">
      <w:pPr>
        <w:rPr>
          <w:rFonts w:eastAsiaTheme="minorHAnsi" w:cs="Arial"/>
          <w:szCs w:val="22"/>
          <w:lang w:val="en-US" w:eastAsia="en-US"/>
        </w:rPr>
      </w:pPr>
    </w:p>
    <w:p w:rsidR="0024287F" w:rsidRPr="000E432B" w:rsidRDefault="0024287F" w:rsidP="0024287F">
      <w:pPr>
        <w:rPr>
          <w:rFonts w:eastAsiaTheme="minorHAnsi" w:cs="Arial"/>
          <w:b/>
          <w:sz w:val="18"/>
          <w:szCs w:val="18"/>
          <w:lang w:val="en-US" w:eastAsia="en-US"/>
        </w:rPr>
      </w:pPr>
      <w:r w:rsidRPr="000E432B">
        <w:rPr>
          <w:rFonts w:eastAsiaTheme="minorHAnsi" w:cs="Arial"/>
          <w:b/>
          <w:sz w:val="18"/>
          <w:szCs w:val="18"/>
          <w:lang w:val="en-US" w:eastAsia="en-US"/>
        </w:rPr>
        <w:t xml:space="preserve">Viri: </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 xml:space="preserve">Report on Quality of Drinking Water in the EU, </w:t>
      </w:r>
      <w:hyperlink r:id="rId34" w:history="1">
        <w:r w:rsidRPr="000E432B">
          <w:rPr>
            <w:rFonts w:eastAsiaTheme="minorHAnsi" w:cs="Arial"/>
            <w:sz w:val="18"/>
            <w:szCs w:val="18"/>
            <w:lang w:val="en-US" w:eastAsia="en-US"/>
          </w:rPr>
          <w:t>http://ec.europa.eu/environment/water/water-drink/pdf/reports/EN.pdf</w:t>
        </w:r>
      </w:hyperlink>
    </w:p>
    <w:p w:rsidR="0024287F" w:rsidRPr="000E432B" w:rsidRDefault="0024287F" w:rsidP="0024287F">
      <w:pPr>
        <w:rPr>
          <w:rFonts w:eastAsiaTheme="minorHAnsi" w:cs="Arial"/>
          <w:sz w:val="18"/>
          <w:szCs w:val="18"/>
          <w:lang w:eastAsia="en-US"/>
        </w:rPr>
      </w:pPr>
      <w:r w:rsidRPr="000E432B">
        <w:rPr>
          <w:rFonts w:eastAsiaTheme="minorHAnsi" w:cs="Arial"/>
          <w:sz w:val="18"/>
          <w:szCs w:val="18"/>
          <w:lang w:eastAsia="en-US"/>
        </w:rPr>
        <w:t>Umweltbundesamt (UBA) (2016), Rund um das Trinkwasser, Dessau, Seite 9, 43</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https://www.umweltbundesamt.de/sites/default/files/medien/479/publikationen/uba_rund_um_das_trinkwasser_ratgeber_web_0.pdf (Access: 19.11.2018) P. 9, 43</w:t>
      </w:r>
    </w:p>
    <w:p w:rsidR="0024287F" w:rsidRPr="000E432B" w:rsidRDefault="0024287F" w:rsidP="0024287F">
      <w:pPr>
        <w:rPr>
          <w:rFonts w:eastAsiaTheme="minorHAnsi" w:cs="Arial"/>
          <w:szCs w:val="22"/>
          <w:lang w:val="en-US" w:eastAsia="en-US"/>
        </w:rPr>
      </w:pPr>
    </w:p>
    <w:p w:rsidR="0024287F" w:rsidRPr="0024287F" w:rsidRDefault="0024287F" w:rsidP="0024287F">
      <w:pPr>
        <w:spacing w:line="259" w:lineRule="auto"/>
        <w:rPr>
          <w:rFonts w:cs="Arial"/>
          <w:b/>
          <w:bCs/>
          <w:color w:val="00B0F0"/>
          <w:sz w:val="32"/>
          <w:szCs w:val="32"/>
          <w:lang w:val="en-GB"/>
        </w:rPr>
      </w:pPr>
      <w:r w:rsidRPr="0024287F">
        <w:rPr>
          <w:rFonts w:cs="Arial"/>
          <w:b/>
          <w:bCs/>
          <w:color w:val="00B0F0"/>
          <w:sz w:val="32"/>
          <w:szCs w:val="32"/>
          <w:lang w:val="en-GB"/>
        </w:rPr>
        <w:t xml:space="preserve">Zakonske zahteve in omejitve glede pitja v šolah </w:t>
      </w:r>
    </w:p>
    <w:p w:rsidR="0024287F" w:rsidRPr="000E432B" w:rsidRDefault="0024287F" w:rsidP="0024287F">
      <w:pPr>
        <w:spacing w:line="259" w:lineRule="auto"/>
        <w:rPr>
          <w:rFonts w:cs="Arial"/>
          <w:b/>
          <w:bCs/>
          <w:sz w:val="28"/>
          <w:szCs w:val="28"/>
          <w:lang w:val="en-GB"/>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Glede pitja v šolah v Nemčiji ni zakonskih določil, obstaja pa veliko programov (npr. “Trinken im Unterricht”, “Wasser macht Schule” ), ki nudijo informacije in učne materiale o tem, kako pomagati otrokom različnih starosti vzpostaviti zdravo in trajnostno  obnašanje glede pijač.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rPr>
          <w:rFonts w:eastAsiaTheme="minorHAnsi" w:cs="Arial"/>
          <w:b/>
          <w:sz w:val="18"/>
          <w:szCs w:val="18"/>
          <w:lang w:val="en-US" w:eastAsia="en-US"/>
        </w:rPr>
      </w:pPr>
      <w:r w:rsidRPr="000E432B">
        <w:rPr>
          <w:rFonts w:eastAsiaTheme="minorHAnsi" w:cs="Arial"/>
          <w:b/>
          <w:sz w:val="18"/>
          <w:szCs w:val="18"/>
          <w:lang w:val="en-US" w:eastAsia="en-US"/>
        </w:rPr>
        <w:t>Sources:</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https://www.trinken-im-unterricht.de/ (Access: 19.11.2018)</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https://www.wasser-macht-schule.de/ (Access: 19.11.2018)</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http://www.fke-do.de/index.php?module=page_navigation&amp;index%5Bpage_navigation%5D%5Baction%5D=details&amp;index%5Bpage_navigation%5D%5Bdata%5D%5Bpage_navigation_id%5D=140 (Access: 19.11.2018)</w:t>
      </w:r>
    </w:p>
    <w:p w:rsidR="0024287F" w:rsidRDefault="0024287F" w:rsidP="0024287F">
      <w:pPr>
        <w:jc w:val="both"/>
        <w:rPr>
          <w:rFonts w:eastAsiaTheme="minorHAnsi" w:cs="Arial"/>
          <w:szCs w:val="22"/>
          <w:lang w:val="en-US" w:eastAsia="en-US"/>
        </w:rPr>
      </w:pPr>
    </w:p>
    <w:p w:rsidR="0024287F" w:rsidRDefault="0024287F" w:rsidP="0024287F">
      <w:pPr>
        <w:jc w:val="both"/>
        <w:rPr>
          <w:rFonts w:eastAsiaTheme="minorHAnsi" w:cs="Arial"/>
          <w:szCs w:val="22"/>
          <w:lang w:val="en-US" w:eastAsia="en-US"/>
        </w:rPr>
      </w:pPr>
    </w:p>
    <w:p w:rsidR="0024287F" w:rsidRDefault="0024287F" w:rsidP="0024287F">
      <w:pPr>
        <w:jc w:val="both"/>
        <w:rPr>
          <w:rFonts w:eastAsiaTheme="minorHAnsi" w:cs="Arial"/>
          <w:szCs w:val="22"/>
          <w:lang w:val="en-US" w:eastAsia="en-US"/>
        </w:rPr>
      </w:pPr>
    </w:p>
    <w:p w:rsidR="0024287F" w:rsidRDefault="0024287F" w:rsidP="0024287F">
      <w:pPr>
        <w:jc w:val="both"/>
        <w:rPr>
          <w:rFonts w:eastAsiaTheme="minorHAnsi" w:cs="Arial"/>
          <w:szCs w:val="22"/>
          <w:lang w:val="en-US" w:eastAsia="en-US"/>
        </w:rPr>
      </w:pPr>
    </w:p>
    <w:p w:rsidR="0024287F" w:rsidRDefault="0024287F" w:rsidP="0024287F">
      <w:pPr>
        <w:jc w:val="both"/>
        <w:rPr>
          <w:rFonts w:eastAsiaTheme="minorHAnsi" w:cs="Arial"/>
          <w:szCs w:val="22"/>
          <w:lang w:val="en-US" w:eastAsia="en-US"/>
        </w:rPr>
      </w:pPr>
    </w:p>
    <w:p w:rsidR="0024287F"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p>
    <w:p w:rsidR="001541CC" w:rsidRPr="00ED6C4D" w:rsidRDefault="001541CC" w:rsidP="00E44061">
      <w:pPr>
        <w:pStyle w:val="Naslov1"/>
        <w:rPr>
          <w:color w:val="00B0F0"/>
          <w:lang w:val="sl-SI"/>
        </w:rPr>
      </w:pPr>
      <w:r w:rsidRPr="00ED6C4D">
        <w:rPr>
          <w:color w:val="00B0F0"/>
          <w:lang w:val="sl-SI"/>
        </w:rPr>
        <w:lastRenderedPageBreak/>
        <w:t>Ital</w:t>
      </w:r>
      <w:r w:rsidR="0024287F" w:rsidRPr="00ED6C4D">
        <w:rPr>
          <w:color w:val="00B0F0"/>
          <w:lang w:val="sl-SI"/>
        </w:rPr>
        <w:t>ija</w:t>
      </w:r>
      <w:bookmarkEnd w:id="9"/>
    </w:p>
    <w:p w:rsidR="001541CC" w:rsidRPr="00ED6C4D" w:rsidRDefault="001541CC" w:rsidP="001541CC">
      <w:pPr>
        <w:spacing w:line="259" w:lineRule="auto"/>
        <w:rPr>
          <w:rFonts w:cs="Arial"/>
          <w:b/>
          <w:bCs/>
          <w:color w:val="00B0F0"/>
          <w:szCs w:val="22"/>
          <w:lang w:val="sl-SI"/>
        </w:rPr>
      </w:pPr>
    </w:p>
    <w:p w:rsidR="0024287F" w:rsidRPr="00ED6C4D" w:rsidRDefault="0024287F" w:rsidP="0024287F">
      <w:pPr>
        <w:spacing w:line="259" w:lineRule="auto"/>
        <w:rPr>
          <w:rFonts w:cs="Arial"/>
          <w:b/>
          <w:bCs/>
          <w:color w:val="00B0F0"/>
          <w:sz w:val="32"/>
          <w:szCs w:val="32"/>
          <w:lang w:val="sl-SI"/>
        </w:rPr>
      </w:pPr>
      <w:bookmarkStart w:id="10" w:name="_Toc14770447"/>
      <w:r w:rsidRPr="00ED6C4D">
        <w:rPr>
          <w:rFonts w:cs="Arial"/>
          <w:b/>
          <w:bCs/>
          <w:color w:val="00B0F0"/>
          <w:sz w:val="32"/>
          <w:szCs w:val="32"/>
          <w:lang w:val="sl-SI"/>
        </w:rPr>
        <w:t xml:space="preserve">Navade pri uživanju pijač pri otrocih in mladostnikih </w:t>
      </w:r>
    </w:p>
    <w:p w:rsidR="0024287F" w:rsidRPr="000E432B" w:rsidRDefault="0024287F" w:rsidP="0024287F">
      <w:pPr>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Skladno s podatki CENSIS, 90.3 % Italijanov pije mineralno vodo, 79,7% spije vsaj pol litra dnevno.  zadnjih dvajset letih, med 1995 in 2016, se je število uživalcev povečalo za 19% (teh, mi spjejo vsaj pol litra dnevno pa za 36%). Danes je 49 milijonov Italijanov, ki pijejo mineralno vodo, kar je 8 milijonov več kot pred dvajsetimi leti.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Glede uživanja ustekleničene vode se Italija loči od ostalih evropskih držav, saj se tu spije veliko vode, kar 96 litrov več kot v evropskem povprečju (+ 87.3%).. V povprečju to pomeni 206 l/prebivalca letno, kar je 29 litrov več kot v Nemčiji,  84 l več kot v Franciji, 85 l več kot Španci in 173 l več kot v Združenem kraljestvu.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Med mladimi v starosti 18-34 let jih 83,3% spije vsaj pol litra mineralne vode na dan.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Po nacionalnih podatkih 2018 (vzorec 800 ljudi) ki so raziskovali dnevne navade Italijanov, je ob vprašanju zakaj pijejo ustekleničeno vodo 47 odstotkov ljudi odgovorilo, da je to zaradi večje prehranske varnosti vode, 20 odstotkov pravi, da zaradi udobnosti, 16 odstotkov pa zaradi okusa. Samo 27 odstotkov ljudi ima raje vodo izpod pipe in jo pijejo tudi ker je bolj varna (40 odstotkov od teh), zdrava (16 odstotkov iz te skupine) in ima nizek vpliv na okolje (10 odstotkov).</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b/>
          <w:sz w:val="18"/>
          <w:szCs w:val="18"/>
          <w:lang w:val="it-IT" w:eastAsia="en-US"/>
        </w:rPr>
      </w:pPr>
      <w:r w:rsidRPr="000E432B">
        <w:rPr>
          <w:rFonts w:eastAsiaTheme="minorHAnsi" w:cs="Arial"/>
          <w:b/>
          <w:sz w:val="18"/>
          <w:szCs w:val="18"/>
          <w:lang w:val="it-IT" w:eastAsia="en-US"/>
        </w:rPr>
        <w:t xml:space="preserve">Vir: </w:t>
      </w:r>
    </w:p>
    <w:p w:rsidR="0024287F" w:rsidRPr="000E432B" w:rsidRDefault="0024287F" w:rsidP="0024287F">
      <w:pPr>
        <w:jc w:val="both"/>
        <w:rPr>
          <w:rFonts w:eastAsiaTheme="minorHAnsi" w:cs="Arial"/>
          <w:sz w:val="18"/>
          <w:szCs w:val="18"/>
          <w:lang w:val="it-IT" w:eastAsia="en-US"/>
        </w:rPr>
      </w:pPr>
      <w:r w:rsidRPr="000E432B">
        <w:rPr>
          <w:rFonts w:eastAsiaTheme="minorHAnsi" w:cs="Arial"/>
          <w:sz w:val="18"/>
          <w:szCs w:val="18"/>
          <w:lang w:val="it-IT" w:eastAsia="en-US"/>
        </w:rPr>
        <w:t>CENSIS (Il valore sociale rilevato del consumo di acque minerali) - Roma febbraio 2018</w:t>
      </w:r>
    </w:p>
    <w:p w:rsidR="0024287F" w:rsidRPr="000E432B" w:rsidRDefault="0024287F" w:rsidP="0024287F">
      <w:pPr>
        <w:jc w:val="both"/>
        <w:rPr>
          <w:rFonts w:eastAsiaTheme="minorHAnsi" w:cs="Arial"/>
          <w:szCs w:val="22"/>
          <w:lang w:val="it-IT" w:eastAsia="en-US"/>
        </w:rPr>
      </w:pPr>
    </w:p>
    <w:p w:rsidR="0024287F" w:rsidRPr="00ED6C4D" w:rsidRDefault="0024287F" w:rsidP="0024287F">
      <w:pPr>
        <w:spacing w:line="259" w:lineRule="auto"/>
        <w:rPr>
          <w:rFonts w:cs="Arial"/>
          <w:b/>
          <w:bCs/>
          <w:color w:val="00B0F0"/>
          <w:sz w:val="32"/>
          <w:szCs w:val="32"/>
          <w:lang w:val="sl-SI"/>
        </w:rPr>
      </w:pPr>
      <w:r w:rsidRPr="00ED6C4D">
        <w:rPr>
          <w:rFonts w:cs="Arial"/>
          <w:b/>
          <w:bCs/>
          <w:color w:val="00B0F0"/>
          <w:sz w:val="32"/>
          <w:szCs w:val="32"/>
          <w:lang w:val="sl-SI"/>
        </w:rPr>
        <w:t xml:space="preserve">Stopnja debelosti, prekomerne telesne teže in kariesa med otroci/mladino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Glede a zadnje podatke SZO je Italija država, ki ima na svetu največ otroške debelosti, kar 30 odstotkov otro je prekomerno težkih in debelih. Večja pojavnost je na jugu in v srednji Italiji, čeprav se razlike počasi zmanjšujejo.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Podatkov o prekomerni telesni teži otrok iz posameznih starostnih skupin ni, omenjeni podatki se večinoma nanašajo na otroke stere od 6 - 10 let. </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Med otroci 21,3 odstotka predstavljajo pretežki otroci in 9,3 odstotka so debeli, med katerimi so tudi morbidno debeli - 2,1 odstotka. </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Med deklicami je 21,7 odstotka prekomerno težkih, od tega 8,8 odstotka debelih, med dečki pa je 21 odstotka prekomerno težkih, od tega 9,7 odstotka debelih. Po drugi strani je podhranjenih otrok le 1,4 odstotka.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Glavni razlogi za otroško debelost v Italiji so večinoma taki kot drugje po svetu:</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porast sedentarnega načina življenja zaradi prekomerne uporabe raznih tehnoloških naprav</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razlogi v družini: če je eden od staršev debel, je verjetnost, da bo tak tudi otrok, večja. Verjetnost je večja tudi v družinah z nižjim socioekonomskim statusom.</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slabe prehranjevalne navade kot npr. izpuščanje zajrtka, nekvalitetni, visokokalorični prigrizki</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 percepcija mater svojih otrok: način kako matere sprejemajo podobo, oz.telesno težo svojih otrok: 50,3 odstotka mater prekomerno težkih otrok in 12,2 odstotka mater debelih otrok meni, da imajo njihovi otroci normalno telesno težo.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b/>
          <w:sz w:val="18"/>
          <w:szCs w:val="18"/>
          <w:lang w:val="en-US" w:eastAsia="en-US"/>
        </w:rPr>
      </w:pPr>
      <w:r w:rsidRPr="000E432B">
        <w:rPr>
          <w:rFonts w:eastAsiaTheme="minorHAnsi" w:cs="Arial"/>
          <w:b/>
          <w:sz w:val="18"/>
          <w:szCs w:val="18"/>
          <w:lang w:val="en-US" w:eastAsia="en-US"/>
        </w:rPr>
        <w:t xml:space="preserve">Vir: </w:t>
      </w:r>
    </w:p>
    <w:p w:rsidR="0024287F" w:rsidRPr="000E432B" w:rsidRDefault="0024287F" w:rsidP="0024287F">
      <w:pPr>
        <w:jc w:val="both"/>
        <w:rPr>
          <w:rFonts w:eastAsiaTheme="minorHAnsi" w:cs="Arial"/>
          <w:sz w:val="18"/>
          <w:szCs w:val="18"/>
          <w:lang w:val="en-US" w:eastAsia="en-US"/>
        </w:rPr>
      </w:pPr>
      <w:r w:rsidRPr="000E432B">
        <w:rPr>
          <w:rFonts w:eastAsiaTheme="minorHAnsi" w:cs="Arial"/>
          <w:sz w:val="18"/>
          <w:szCs w:val="18"/>
          <w:lang w:val="en-US" w:eastAsia="en-US"/>
        </w:rPr>
        <w:lastRenderedPageBreak/>
        <w:t>OKkio alla SALUTE - Surveillance system on overweight and obesity in children promoted and funded by the Ministry of Health / CMM</w:t>
      </w:r>
    </w:p>
    <w:p w:rsidR="0024287F" w:rsidRPr="000E432B" w:rsidRDefault="0024287F" w:rsidP="0024287F">
      <w:pPr>
        <w:jc w:val="both"/>
        <w:rPr>
          <w:rFonts w:eastAsiaTheme="minorHAnsi" w:cs="Arial"/>
          <w:szCs w:val="22"/>
          <w:lang w:val="en-US" w:eastAsia="en-US"/>
        </w:rPr>
      </w:pPr>
    </w:p>
    <w:p w:rsidR="0024287F" w:rsidRPr="00ED6C4D" w:rsidRDefault="0024287F" w:rsidP="0024287F">
      <w:pPr>
        <w:spacing w:line="259" w:lineRule="auto"/>
        <w:rPr>
          <w:rFonts w:cs="Arial"/>
          <w:b/>
          <w:bCs/>
          <w:color w:val="00B0F0"/>
          <w:sz w:val="32"/>
          <w:szCs w:val="32"/>
          <w:lang w:val="en-GB"/>
        </w:rPr>
      </w:pPr>
      <w:r w:rsidRPr="00ED6C4D">
        <w:rPr>
          <w:rFonts w:cs="Arial"/>
          <w:b/>
          <w:bCs/>
          <w:color w:val="00B0F0"/>
          <w:sz w:val="32"/>
          <w:szCs w:val="32"/>
          <w:lang w:val="en-GB"/>
        </w:rPr>
        <w:t xml:space="preserve">Dostop do čiste pitne vode  </w:t>
      </w:r>
    </w:p>
    <w:p w:rsidR="0024287F" w:rsidRPr="000E432B" w:rsidRDefault="0024287F" w:rsidP="00242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sz w:val="18"/>
          <w:szCs w:val="18"/>
          <w:lang w:val="en-US" w:eastAsia="en-US"/>
        </w:rPr>
      </w:pPr>
      <w:r w:rsidRPr="000E432B">
        <w:rPr>
          <w:rFonts w:eastAsiaTheme="minorHAnsi" w:cs="Arial"/>
          <w:b/>
          <w:noProof/>
          <w:sz w:val="18"/>
          <w:szCs w:val="18"/>
          <w:lang w:val="sl-SI" w:eastAsia="sl-SI"/>
        </w:rPr>
        <w:drawing>
          <wp:anchor distT="0" distB="0" distL="114300" distR="114300" simplePos="0" relativeHeight="251677696" behindDoc="1" locked="0" layoutInCell="1" allowOverlap="1">
            <wp:simplePos x="0" y="0"/>
            <wp:positionH relativeFrom="column">
              <wp:posOffset>3167380</wp:posOffset>
            </wp:positionH>
            <wp:positionV relativeFrom="paragraph">
              <wp:posOffset>99060</wp:posOffset>
            </wp:positionV>
            <wp:extent cx="2971800" cy="2066925"/>
            <wp:effectExtent l="19050" t="0" r="19050" b="0"/>
            <wp:wrapTight wrapText="bothSides">
              <wp:wrapPolygon edited="0">
                <wp:start x="-138" y="0"/>
                <wp:lineTo x="-138" y="21500"/>
                <wp:lineTo x="21738" y="21500"/>
                <wp:lineTo x="21738" y="0"/>
                <wp:lineTo x="-138" y="0"/>
              </wp:wrapPolygon>
            </wp:wrapTight>
            <wp:docPr id="15" name="Diagramm 16">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a16="http://schemas.microsoft.com/office/drawing/2014/main" xmlns:dgm="http://schemas.openxmlformats.org/drawingml/2006/diagram" xmlns:c="http://schemas.openxmlformats.org/drawingml/2006/chart" xmlns:a14="http://schemas.microsoft.com/office/drawing/2010/main" xmlns:pic="http://schemas.openxmlformats.org/drawingml/2006/pictur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D8DB4EB-2692-45C6-9848-7AE896635E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anchor>
        </w:drawing>
      </w:r>
    </w:p>
    <w:p w:rsidR="0024287F" w:rsidRPr="000E432B" w:rsidRDefault="0024287F" w:rsidP="0024287F">
      <w:pPr>
        <w:spacing w:after="160" w:line="259" w:lineRule="auto"/>
        <w:rPr>
          <w:rFonts w:eastAsiaTheme="minorEastAsia" w:cs="Arial"/>
          <w:b/>
          <w:bCs/>
          <w:szCs w:val="22"/>
          <w:lang w:val="en-US" w:eastAsia="en-US"/>
        </w:rPr>
      </w:pPr>
      <w:r w:rsidRPr="000E432B">
        <w:rPr>
          <w:rFonts w:eastAsiaTheme="minorEastAsia" w:cs="Arial"/>
          <w:b/>
          <w:bCs/>
          <w:szCs w:val="22"/>
          <w:lang w:val="en-US" w:eastAsia="en-US"/>
        </w:rPr>
        <w:t xml:space="preserve">Vodni viri v Italiji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Talna voda: 58%</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Površinska voda: 38%</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Voda v notranjosti zemlje: 4%</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Pridobivanje pitne vode: približno eno tretjino pridobljene vode obdelajo, da je primerna za pitje. </w:t>
      </w:r>
    </w:p>
    <w:p w:rsidR="0024287F" w:rsidRPr="000E432B" w:rsidRDefault="0024287F" w:rsidP="0024287F">
      <w:pPr>
        <w:jc w:val="both"/>
        <w:rPr>
          <w:rFonts w:eastAsiaTheme="minorHAnsi" w:cs="Arial"/>
          <w:szCs w:val="22"/>
          <w:lang w:val="en-US" w:eastAsia="en-US"/>
        </w:rPr>
      </w:pPr>
    </w:p>
    <w:p w:rsidR="0024287F" w:rsidRPr="000E432B" w:rsidRDefault="0024287F" w:rsidP="00ED6C4D">
      <w:pPr>
        <w:jc w:val="both"/>
        <w:rPr>
          <w:rFonts w:eastAsiaTheme="minorHAnsi" w:cs="Arial"/>
          <w:b/>
          <w:szCs w:val="22"/>
          <w:lang w:val="en-US" w:eastAsia="en-US"/>
        </w:rPr>
      </w:pPr>
      <w:r w:rsidRPr="000E432B">
        <w:rPr>
          <w:rFonts w:eastAsiaTheme="minorHAnsi" w:cs="Arial"/>
          <w:szCs w:val="22"/>
          <w:lang w:val="en-US" w:eastAsia="en-US"/>
        </w:rPr>
        <w:t xml:space="preserve"> </w:t>
      </w:r>
    </w:p>
    <w:p w:rsidR="0024287F" w:rsidRPr="000E432B" w:rsidRDefault="0024287F" w:rsidP="0024287F">
      <w:pPr>
        <w:rPr>
          <w:rFonts w:eastAsiaTheme="minorHAnsi" w:cs="Arial"/>
          <w:b/>
          <w:szCs w:val="22"/>
          <w:lang w:val="en-US" w:eastAsia="en-US"/>
        </w:rPr>
      </w:pPr>
    </w:p>
    <w:p w:rsidR="0024287F" w:rsidRPr="000E432B" w:rsidRDefault="0024287F" w:rsidP="0024287F">
      <w:pPr>
        <w:spacing w:after="160" w:line="259" w:lineRule="auto"/>
        <w:rPr>
          <w:rFonts w:eastAsiaTheme="minorHAnsi" w:cs="Arial"/>
          <w:b/>
          <w:szCs w:val="22"/>
          <w:lang w:val="en-US" w:eastAsia="en-US"/>
        </w:rPr>
      </w:pPr>
      <w:r w:rsidRPr="000E432B">
        <w:rPr>
          <w:rFonts w:eastAsiaTheme="minorHAnsi" w:cs="Arial"/>
          <w:b/>
          <w:szCs w:val="22"/>
          <w:lang w:val="en-US" w:eastAsia="en-US"/>
        </w:rPr>
        <w:t xml:space="preserve">Oskrba vrtcev in šol z varno pitno vodo </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Ni točnega podatka koliko šol ima dostop do higiensko neoporečne, pitne vode. V zadnjih letih se vse več šol odloča za uporabo vode izpod pipe, seveda tiste šole, ki zadoščajo higienskim pogojem.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Kaj je italijanske šole spodbudilo k ti odločitvi? Eden od glavnih razlogov, ki prepriča večino organizacij, je vse večji posluh za  ekološki in trajnostni način življenja, ki pripomore k zmanjšanju odpadkov, ščiti planet .... </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Drugi razlog, ki je mnoge prepričal k večji uporabi vode iz pipe, je znaten prihranek v primerjavi z nakupom ustekleničene vode, kar se pozna na družinskem proračunu.  </w:t>
      </w: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In končno: večja poraba vode izpod pipe spodbuja občine, da povečajo periodične preglede vodovodnih omrežij in zagotovijo vse higienske pogoje.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jc w:val="both"/>
        <w:rPr>
          <w:rFonts w:eastAsiaTheme="minorHAnsi" w:cs="Arial"/>
          <w:b/>
          <w:sz w:val="18"/>
          <w:szCs w:val="18"/>
          <w:lang w:val="it-IT" w:eastAsia="en-US"/>
        </w:rPr>
      </w:pPr>
      <w:r w:rsidRPr="000E432B">
        <w:rPr>
          <w:rFonts w:eastAsiaTheme="minorHAnsi" w:cs="Arial"/>
          <w:b/>
          <w:sz w:val="18"/>
          <w:szCs w:val="18"/>
          <w:lang w:val="it-IT" w:eastAsia="en-US"/>
        </w:rPr>
        <w:t>Viri:</w:t>
      </w:r>
    </w:p>
    <w:p w:rsidR="0024287F" w:rsidRPr="000E432B" w:rsidRDefault="0024287F" w:rsidP="0024287F">
      <w:pPr>
        <w:jc w:val="both"/>
        <w:rPr>
          <w:rFonts w:eastAsiaTheme="minorHAnsi" w:cs="Arial"/>
          <w:sz w:val="18"/>
          <w:szCs w:val="18"/>
          <w:lang w:val="it-IT" w:eastAsia="en-US"/>
        </w:rPr>
      </w:pPr>
      <w:r w:rsidRPr="000E432B">
        <w:rPr>
          <w:rFonts w:eastAsiaTheme="minorHAnsi" w:cs="Arial"/>
          <w:sz w:val="18"/>
          <w:szCs w:val="18"/>
          <w:lang w:val="it-IT" w:eastAsia="en-US"/>
        </w:rPr>
        <w:t>ISTAT - Censimento delle acque per uso civile (anno 2017)</w:t>
      </w:r>
    </w:p>
    <w:p w:rsidR="0024287F" w:rsidRPr="000E432B" w:rsidRDefault="0024287F" w:rsidP="0024287F">
      <w:pPr>
        <w:rPr>
          <w:rFonts w:eastAsiaTheme="minorHAnsi" w:cs="Arial"/>
          <w:sz w:val="18"/>
          <w:szCs w:val="18"/>
          <w:lang w:val="en-US" w:eastAsia="en-US"/>
        </w:rPr>
      </w:pPr>
      <w:r w:rsidRPr="000E432B">
        <w:rPr>
          <w:rFonts w:eastAsiaTheme="minorHAnsi" w:cs="Arial"/>
          <w:sz w:val="18"/>
          <w:szCs w:val="18"/>
          <w:lang w:val="en-US" w:eastAsia="en-US"/>
        </w:rPr>
        <w:t xml:space="preserve">Report on Quality of Drinking Water in the EU, </w:t>
      </w:r>
      <w:hyperlink r:id="rId36" w:history="1">
        <w:r w:rsidRPr="000E432B">
          <w:rPr>
            <w:rFonts w:eastAsiaTheme="minorHAnsi" w:cs="Arial"/>
            <w:sz w:val="18"/>
            <w:szCs w:val="18"/>
            <w:lang w:val="en-US" w:eastAsia="en-US"/>
          </w:rPr>
          <w:t>http://ec.europa.eu/environment/water/water-drink/pdf/reports/EN.pdf</w:t>
        </w:r>
      </w:hyperlink>
    </w:p>
    <w:p w:rsidR="0024287F" w:rsidRPr="000E432B" w:rsidRDefault="0024287F" w:rsidP="0024287F">
      <w:pPr>
        <w:jc w:val="both"/>
        <w:rPr>
          <w:rFonts w:eastAsiaTheme="minorHAnsi" w:cs="Arial"/>
          <w:sz w:val="18"/>
          <w:szCs w:val="18"/>
          <w:lang w:val="en-US" w:eastAsia="en-US"/>
        </w:rPr>
      </w:pPr>
    </w:p>
    <w:p w:rsidR="0024287F" w:rsidRPr="000E432B" w:rsidRDefault="0024287F" w:rsidP="0024287F">
      <w:pPr>
        <w:jc w:val="both"/>
        <w:rPr>
          <w:rFonts w:eastAsiaTheme="minorHAnsi" w:cs="Arial"/>
          <w:sz w:val="18"/>
          <w:szCs w:val="18"/>
          <w:lang w:val="en-US" w:eastAsia="en-US"/>
        </w:rPr>
      </w:pPr>
    </w:p>
    <w:p w:rsidR="0024287F" w:rsidRPr="00ED6C4D" w:rsidRDefault="0024287F" w:rsidP="0024287F">
      <w:pPr>
        <w:spacing w:line="259" w:lineRule="auto"/>
        <w:rPr>
          <w:rFonts w:cs="Arial"/>
          <w:b/>
          <w:bCs/>
          <w:color w:val="00B0F0"/>
          <w:sz w:val="32"/>
          <w:szCs w:val="32"/>
          <w:lang w:val="en-GB"/>
        </w:rPr>
      </w:pPr>
      <w:r w:rsidRPr="00ED6C4D">
        <w:rPr>
          <w:rFonts w:cs="Arial"/>
          <w:b/>
          <w:bCs/>
          <w:color w:val="00B0F0"/>
          <w:sz w:val="32"/>
          <w:szCs w:val="32"/>
          <w:lang w:val="en-GB"/>
        </w:rPr>
        <w:t xml:space="preserve">Zakonske zahteve in omejitve glede pitja v šolah </w:t>
      </w:r>
    </w:p>
    <w:p w:rsidR="0024287F" w:rsidRPr="000E432B" w:rsidRDefault="0024287F" w:rsidP="0024287F">
      <w:pPr>
        <w:jc w:val="both"/>
        <w:rPr>
          <w:rFonts w:cs="Arial"/>
          <w:b/>
          <w:bCs/>
          <w:sz w:val="28"/>
          <w:szCs w:val="28"/>
          <w:lang w:val="en-GB"/>
        </w:rPr>
      </w:pPr>
    </w:p>
    <w:p w:rsidR="0024287F" w:rsidRPr="000E432B" w:rsidRDefault="0024287F" w:rsidP="0024287F">
      <w:pPr>
        <w:jc w:val="both"/>
        <w:rPr>
          <w:rFonts w:eastAsiaTheme="minorHAnsi" w:cs="Arial"/>
          <w:szCs w:val="22"/>
          <w:lang w:val="en-US" w:eastAsia="en-US"/>
        </w:rPr>
      </w:pPr>
      <w:r w:rsidRPr="000E432B">
        <w:rPr>
          <w:rFonts w:eastAsiaTheme="minorHAnsi" w:cs="Arial"/>
          <w:szCs w:val="22"/>
          <w:lang w:val="en-US" w:eastAsia="en-US"/>
        </w:rPr>
        <w:t xml:space="preserve">V Italiji ima vsaka šola svoja pravila, upoštevati pa morajo nacionalne smernice o prehrani (Guidelines for healthy eating - INRAN 2003)  in mednarodna priporočila (WHO 2003)  ter kriterije o okoljski in družbeni trajnosti  (PAN GPP, DL 264 /2013). </w:t>
      </w:r>
    </w:p>
    <w:p w:rsidR="0024287F" w:rsidRPr="000E432B" w:rsidRDefault="0024287F" w:rsidP="0024287F">
      <w:pPr>
        <w:jc w:val="both"/>
        <w:rPr>
          <w:rFonts w:eastAsiaTheme="minorHAnsi" w:cs="Arial"/>
          <w:szCs w:val="22"/>
          <w:lang w:val="en-US" w:eastAsia="en-US"/>
        </w:rPr>
      </w:pPr>
    </w:p>
    <w:p w:rsidR="0024287F" w:rsidRPr="000E432B" w:rsidRDefault="0024287F" w:rsidP="0024287F">
      <w:pPr>
        <w:spacing w:line="259" w:lineRule="auto"/>
        <w:rPr>
          <w:rFonts w:eastAsiaTheme="minorHAnsi" w:cs="Arial"/>
          <w:szCs w:val="22"/>
          <w:lang w:val="en-US" w:eastAsia="en-US"/>
        </w:rPr>
      </w:pPr>
    </w:p>
    <w:p w:rsidR="0024287F" w:rsidRPr="000E432B" w:rsidRDefault="0024287F" w:rsidP="0024287F">
      <w:pPr>
        <w:spacing w:line="259" w:lineRule="auto"/>
        <w:rPr>
          <w:rFonts w:eastAsiaTheme="minorHAnsi" w:cs="Arial"/>
          <w:szCs w:val="22"/>
          <w:lang w:val="en-US" w:eastAsia="en-US"/>
        </w:rPr>
      </w:pPr>
    </w:p>
    <w:p w:rsidR="0024287F" w:rsidRPr="000E432B" w:rsidRDefault="0024287F" w:rsidP="0024287F">
      <w:pPr>
        <w:spacing w:after="160" w:line="259" w:lineRule="auto"/>
        <w:rPr>
          <w:rFonts w:eastAsiaTheme="minorHAnsi" w:cs="Arial"/>
          <w:szCs w:val="22"/>
          <w:lang w:val="en-US" w:eastAsia="en-US"/>
        </w:rPr>
      </w:pPr>
      <w:r w:rsidRPr="000E432B">
        <w:rPr>
          <w:rFonts w:eastAsiaTheme="minorHAnsi" w:cs="Arial"/>
          <w:szCs w:val="22"/>
          <w:lang w:val="en-US" w:eastAsia="en-US"/>
        </w:rPr>
        <w:br w:type="page"/>
      </w:r>
    </w:p>
    <w:p w:rsidR="0024287F" w:rsidRPr="000E432B" w:rsidRDefault="0024287F" w:rsidP="0024287F">
      <w:pPr>
        <w:spacing w:line="259" w:lineRule="auto"/>
        <w:rPr>
          <w:rFonts w:cs="Arial"/>
          <w:b/>
          <w:bCs/>
          <w:color w:val="09AEE9"/>
          <w:sz w:val="48"/>
          <w:szCs w:val="48"/>
          <w:lang w:val="en-GB"/>
        </w:rPr>
      </w:pPr>
      <w:r w:rsidRPr="000E432B">
        <w:rPr>
          <w:rFonts w:cs="Arial"/>
          <w:b/>
          <w:bCs/>
          <w:color w:val="09AEE9"/>
          <w:sz w:val="48"/>
          <w:szCs w:val="48"/>
          <w:lang w:val="en-GB"/>
        </w:rPr>
        <w:lastRenderedPageBreak/>
        <w:t>Slovenija</w:t>
      </w:r>
    </w:p>
    <w:p w:rsidR="0024287F" w:rsidRPr="000E432B" w:rsidRDefault="0024287F" w:rsidP="0024287F">
      <w:pPr>
        <w:spacing w:line="259" w:lineRule="auto"/>
        <w:rPr>
          <w:rFonts w:cs="Arial"/>
          <w:b/>
          <w:bCs/>
          <w:sz w:val="28"/>
          <w:szCs w:val="28"/>
          <w:lang w:val="en-GB"/>
        </w:rPr>
      </w:pPr>
    </w:p>
    <w:bookmarkEnd w:id="10"/>
    <w:p w:rsidR="00AC2AE1" w:rsidRPr="00AC2AE1" w:rsidRDefault="00AC2AE1" w:rsidP="00AC2AE1">
      <w:pPr>
        <w:spacing w:line="259" w:lineRule="auto"/>
        <w:rPr>
          <w:rFonts w:cs="Arial"/>
          <w:b/>
          <w:bCs/>
          <w:color w:val="00B0F0"/>
          <w:sz w:val="32"/>
          <w:szCs w:val="32"/>
          <w:lang w:val="sl-SI"/>
        </w:rPr>
      </w:pPr>
      <w:r w:rsidRPr="00AC2AE1">
        <w:rPr>
          <w:rFonts w:cs="Arial"/>
          <w:b/>
          <w:bCs/>
          <w:color w:val="00B0F0"/>
          <w:sz w:val="32"/>
          <w:szCs w:val="32"/>
          <w:lang w:val="sl-SI"/>
        </w:rPr>
        <w:t xml:space="preserve">Navade pri uživanju pijač pri otrocih in mladostnikih </w:t>
      </w:r>
    </w:p>
    <w:p w:rsidR="00AC2AE1" w:rsidRPr="000E432B" w:rsidRDefault="00AC2AE1" w:rsidP="00AC2AE1">
      <w:pPr>
        <w:autoSpaceDE w:val="0"/>
        <w:autoSpaceDN w:val="0"/>
        <w:adjustRightInd w:val="0"/>
        <w:rPr>
          <w:rFonts w:eastAsiaTheme="minorHAnsi" w:cs="Arial"/>
          <w:szCs w:val="22"/>
          <w:lang w:val="en-GB" w:eastAsia="en-US"/>
        </w:rPr>
      </w:pPr>
    </w:p>
    <w:p w:rsidR="00AC2AE1" w:rsidRPr="000E432B" w:rsidRDefault="00AC2AE1" w:rsidP="00AC2AE1">
      <w:pPr>
        <w:rPr>
          <w:rFonts w:eastAsiaTheme="minorHAnsi" w:cs="Arial"/>
          <w:szCs w:val="22"/>
          <w:lang w:val="en-US" w:eastAsia="en-US"/>
        </w:rPr>
      </w:pPr>
      <w:r w:rsidRPr="000E432B">
        <w:rPr>
          <w:rFonts w:eastAsiaTheme="minorHAnsi" w:cs="Arial"/>
          <w:szCs w:val="22"/>
          <w:lang w:val="en-US" w:eastAsia="en-US"/>
        </w:rPr>
        <w:t xml:space="preserve">Študija med slovenskimi mladostniki je pokazala, da sladke pijače (pijače z dodanimi ali naravno prisotnimi sladkorji) pri dečkih predstavljajo 51 % dnevno zaužitih pijač, pri deklicah pa 47 %. </w:t>
      </w:r>
    </w:p>
    <w:p w:rsidR="00AC2AE1" w:rsidRPr="000E432B" w:rsidRDefault="00AC2AE1" w:rsidP="00AC2AE1">
      <w:pPr>
        <w:rPr>
          <w:rFonts w:eastAsiaTheme="minorHAnsi" w:cs="Arial"/>
          <w:szCs w:val="22"/>
          <w:lang w:val="en-US" w:eastAsia="en-US"/>
        </w:rPr>
      </w:pPr>
      <w:r w:rsidRPr="000E432B">
        <w:rPr>
          <w:rFonts w:eastAsiaTheme="minorHAnsi" w:cs="Arial"/>
          <w:szCs w:val="22"/>
          <w:lang w:val="en-US" w:eastAsia="en-US"/>
        </w:rPr>
        <w:t xml:space="preserve">Vidimo, da mladostniki od pijač spijejo manj vode in nekaloričnih pijač (nesladkan čaj, pijače z nekaloričnimi sladili ): dečki 49 %, od tega voda predstavlja 42 % (505 ml), deklice pa 53 %, od česar je vode 47 %  (662 ml) (Fidler Mis et al., 2012). </w:t>
      </w:r>
    </w:p>
    <w:p w:rsidR="00AC2AE1" w:rsidRPr="000E432B" w:rsidRDefault="00AC2AE1" w:rsidP="00AC2AE1">
      <w:pPr>
        <w:rPr>
          <w:rFonts w:eastAsiaTheme="minorHAnsi" w:cs="Arial"/>
          <w:szCs w:val="22"/>
          <w:lang w:val="en-US" w:eastAsia="en-US"/>
        </w:rPr>
      </w:pPr>
    </w:p>
    <w:p w:rsidR="00AC2AE1" w:rsidRPr="000E432B" w:rsidRDefault="00AC2AE1" w:rsidP="00AC2AE1">
      <w:pPr>
        <w:autoSpaceDE w:val="0"/>
        <w:autoSpaceDN w:val="0"/>
        <w:adjustRightInd w:val="0"/>
        <w:rPr>
          <w:rFonts w:eastAsiaTheme="minorHAnsi" w:cs="Arial"/>
          <w:b/>
          <w:sz w:val="18"/>
          <w:szCs w:val="18"/>
          <w:lang w:val="en-US" w:eastAsia="en-US"/>
        </w:rPr>
      </w:pPr>
      <w:r w:rsidRPr="000E432B">
        <w:rPr>
          <w:rFonts w:eastAsiaTheme="minorHAnsi" w:cs="Arial"/>
          <w:b/>
          <w:sz w:val="18"/>
          <w:szCs w:val="18"/>
          <w:lang w:val="en-US" w:eastAsia="en-US"/>
        </w:rPr>
        <w:t xml:space="preserve">Vir: </w:t>
      </w:r>
    </w:p>
    <w:p w:rsidR="00AC2AE1" w:rsidRPr="000E432B" w:rsidRDefault="00AC2AE1" w:rsidP="00AC2AE1">
      <w:pPr>
        <w:rPr>
          <w:rFonts w:eastAsiaTheme="minorHAnsi" w:cs="Arial"/>
          <w:szCs w:val="22"/>
          <w:lang w:val="en-US" w:eastAsia="en-US"/>
        </w:rPr>
      </w:pPr>
    </w:p>
    <w:p w:rsidR="00AC2AE1" w:rsidRPr="000E432B" w:rsidRDefault="00AC2AE1" w:rsidP="00AC2AE1">
      <w:pPr>
        <w:autoSpaceDE w:val="0"/>
        <w:autoSpaceDN w:val="0"/>
        <w:adjustRightInd w:val="0"/>
        <w:rPr>
          <w:rFonts w:eastAsiaTheme="minorHAnsi" w:cs="Arial"/>
          <w:sz w:val="18"/>
          <w:szCs w:val="18"/>
          <w:lang w:val="en-US" w:eastAsia="en-US"/>
        </w:rPr>
      </w:pPr>
      <w:r w:rsidRPr="000E432B">
        <w:rPr>
          <w:rFonts w:eastAsiaTheme="minorHAnsi" w:cs="Arial"/>
          <w:sz w:val="18"/>
          <w:szCs w:val="18"/>
          <w:lang w:val="en-US" w:eastAsia="en-US"/>
        </w:rPr>
        <w:t xml:space="preserve"> Fidler Mis, N., Kobe, H., Štimec, M. Dietary intake of macro- and micronutrients in Slovenian adolescents: comparison with reference values. Ann. Nutr. Metab., 2012, vol. 61, št. 4, 4. page.</w:t>
      </w:r>
    </w:p>
    <w:p w:rsidR="00AC2AE1" w:rsidRPr="000E432B" w:rsidRDefault="00AC2AE1" w:rsidP="00AC2AE1">
      <w:pPr>
        <w:autoSpaceDE w:val="0"/>
        <w:autoSpaceDN w:val="0"/>
        <w:adjustRightInd w:val="0"/>
        <w:rPr>
          <w:rFonts w:eastAsiaTheme="minorHAnsi" w:cs="Arial"/>
          <w:szCs w:val="22"/>
          <w:lang w:val="en-US" w:eastAsia="en-US"/>
        </w:rPr>
      </w:pPr>
    </w:p>
    <w:p w:rsidR="00AC2AE1" w:rsidRPr="00AC2AE1" w:rsidRDefault="00AC2AE1" w:rsidP="00AC2AE1">
      <w:pPr>
        <w:spacing w:line="259" w:lineRule="auto"/>
        <w:rPr>
          <w:rFonts w:cs="Arial"/>
          <w:b/>
          <w:bCs/>
          <w:color w:val="00B0F0"/>
          <w:sz w:val="32"/>
          <w:szCs w:val="32"/>
          <w:lang w:val="sl-SI"/>
        </w:rPr>
      </w:pPr>
      <w:r w:rsidRPr="00AC2AE1">
        <w:rPr>
          <w:rFonts w:cs="Arial"/>
          <w:b/>
          <w:bCs/>
          <w:color w:val="00B0F0"/>
          <w:sz w:val="32"/>
          <w:szCs w:val="32"/>
          <w:lang w:val="sl-SI"/>
        </w:rPr>
        <w:t xml:space="preserve">Stopnja debelosti, prekomerne telesne teže in kariesa med otroci/mladino </w:t>
      </w:r>
    </w:p>
    <w:p w:rsidR="00AC2AE1" w:rsidRPr="000E432B" w:rsidRDefault="00AC2AE1" w:rsidP="00AC2AE1">
      <w:pPr>
        <w:rPr>
          <w:rFonts w:eastAsiaTheme="minorHAnsi" w:cs="Arial"/>
          <w:szCs w:val="22"/>
          <w:lang w:val="en-US" w:eastAsia="en-US"/>
        </w:rPr>
      </w:pPr>
    </w:p>
    <w:p w:rsidR="00AC2AE1" w:rsidRPr="000E432B" w:rsidRDefault="00AC2AE1" w:rsidP="00AC2AE1">
      <w:pPr>
        <w:rPr>
          <w:rFonts w:eastAsiaTheme="minorHAnsi" w:cs="Arial"/>
          <w:szCs w:val="22"/>
          <w:lang w:val="en-US" w:eastAsia="en-US"/>
        </w:rPr>
      </w:pPr>
      <w:r w:rsidRPr="000E432B">
        <w:rPr>
          <w:rFonts w:eastAsiaTheme="minorHAnsi" w:cs="Arial"/>
          <w:b/>
          <w:szCs w:val="22"/>
          <w:lang w:val="en-US" w:eastAsia="en-US"/>
        </w:rPr>
        <w:t xml:space="preserve">Starost 6- 9 let: </w:t>
      </w:r>
      <w:r w:rsidRPr="000E432B">
        <w:rPr>
          <w:rFonts w:eastAsiaTheme="minorHAnsi" w:cs="Arial"/>
          <w:szCs w:val="22"/>
          <w:lang w:val="en-US" w:eastAsia="en-US"/>
        </w:rPr>
        <w:t>skladno s podatki iz 2013 je v Sloveniji  skupno 21 % pretežkih dečkov: 14% prekomereno težkih in 6,9% debelih. Pretežkih deklic je 22,3 %: od tega je 15,7% je pretežkih, 6,6% pa debelih. (Korošec A., 2018)</w:t>
      </w:r>
    </w:p>
    <w:p w:rsidR="00AC2AE1" w:rsidRPr="000E432B" w:rsidRDefault="00AC2AE1" w:rsidP="00AC2AE1">
      <w:pPr>
        <w:rPr>
          <w:rFonts w:eastAsiaTheme="minorHAnsi" w:cs="Arial"/>
          <w:szCs w:val="22"/>
          <w:lang w:val="en-US" w:eastAsia="en-US"/>
        </w:rPr>
      </w:pPr>
      <w:r w:rsidRPr="000E432B">
        <w:rPr>
          <w:rFonts w:eastAsiaTheme="minorHAnsi" w:cs="Arial"/>
          <w:b/>
          <w:szCs w:val="22"/>
          <w:lang w:val="en-US" w:eastAsia="en-US"/>
        </w:rPr>
        <w:t xml:space="preserve">Starost  11-15 let: </w:t>
      </w:r>
      <w:r w:rsidRPr="000E432B">
        <w:rPr>
          <w:rFonts w:eastAsiaTheme="minorHAnsi" w:cs="Arial"/>
          <w:szCs w:val="22"/>
          <w:lang w:val="en-US" w:eastAsia="en-US"/>
        </w:rPr>
        <w:t xml:space="preserve"> pretežkih dečkov je skupno 21% , pretežkih deklic pa 13,3% (Jeriček Klanšček H.et al., 2014). </w:t>
      </w:r>
    </w:p>
    <w:p w:rsidR="00AC2AE1" w:rsidRPr="000E432B" w:rsidRDefault="00AC2AE1" w:rsidP="00AC2AE1">
      <w:pPr>
        <w:rPr>
          <w:rFonts w:eastAsiaTheme="minorHAnsi" w:cs="Arial"/>
          <w:szCs w:val="22"/>
          <w:lang w:val="en-US" w:eastAsia="en-US"/>
        </w:rPr>
      </w:pPr>
      <w:r w:rsidRPr="000E432B">
        <w:rPr>
          <w:rFonts w:eastAsiaTheme="minorHAnsi" w:cs="Arial"/>
          <w:b/>
          <w:szCs w:val="22"/>
          <w:lang w:val="en-US" w:eastAsia="en-US"/>
        </w:rPr>
        <w:t>Starost nad 15 let:</w:t>
      </w:r>
      <w:r w:rsidRPr="000E432B">
        <w:rPr>
          <w:rFonts w:eastAsiaTheme="minorHAnsi" w:cs="Arial"/>
          <w:szCs w:val="22"/>
          <w:lang w:val="en-US" w:eastAsia="en-US"/>
        </w:rPr>
        <w:t xml:space="preserve"> pretežkih je 18,6% ljudi. (</w:t>
      </w:r>
      <w:r w:rsidRPr="000E432B">
        <w:rPr>
          <w:rFonts w:cs="Arial"/>
          <w:szCs w:val="22"/>
          <w:lang w:val="en-US"/>
        </w:rPr>
        <w:t>Zdravstveni statistični letopis, 2015)</w:t>
      </w:r>
    </w:p>
    <w:p w:rsidR="00AC2AE1" w:rsidRPr="000E432B" w:rsidRDefault="00AC2AE1" w:rsidP="00AC2AE1">
      <w:pPr>
        <w:jc w:val="both"/>
        <w:rPr>
          <w:rFonts w:eastAsiaTheme="minorHAnsi" w:cs="Arial"/>
          <w:szCs w:val="22"/>
          <w:lang w:val="en-US" w:eastAsia="en-US"/>
        </w:rPr>
      </w:pPr>
    </w:p>
    <w:p w:rsidR="00AC2AE1" w:rsidRPr="000E432B" w:rsidRDefault="00AC2AE1" w:rsidP="00AC2AE1">
      <w:pPr>
        <w:rPr>
          <w:rFonts w:cs="Arial"/>
          <w:color w:val="000000"/>
          <w:szCs w:val="22"/>
          <w:shd w:val="clear" w:color="auto" w:fill="FFFFFF"/>
          <w:lang w:val="en-US"/>
        </w:rPr>
      </w:pPr>
      <w:r w:rsidRPr="000E432B">
        <w:rPr>
          <w:rFonts w:cs="Arial"/>
          <w:b/>
          <w:color w:val="000000"/>
          <w:szCs w:val="22"/>
          <w:shd w:val="clear" w:color="auto" w:fill="FFFFFF"/>
          <w:lang w:val="en-US"/>
        </w:rPr>
        <w:t>Oralno zdravje:</w:t>
      </w:r>
      <w:r w:rsidRPr="000E432B">
        <w:rPr>
          <w:rFonts w:cs="Arial"/>
          <w:color w:val="000000"/>
          <w:szCs w:val="22"/>
          <w:shd w:val="clear" w:color="auto" w:fill="FFFFFF"/>
          <w:lang w:val="en-US"/>
        </w:rPr>
        <w:t xml:space="preserve"> samo 1/3 otrok starih 3 - 4 leta ima karies (Vošnjak A., 2014). Med 12 - letniki ima 42% otrok popolnoma zdrave zobe, brez kariesa ali izpuljenih zob. Slovenija je prejela najvišje mednarodno priznanje za preventivni program za varstvo zob </w:t>
      </w:r>
      <w:r w:rsidRPr="000E432B">
        <w:rPr>
          <w:rFonts w:eastAsiaTheme="minorHAnsi" w:cs="Arial"/>
          <w:szCs w:val="22"/>
          <w:lang w:val="en-US" w:eastAsia="en-US"/>
        </w:rPr>
        <w:t xml:space="preserve">(Zupanič M., 2018) </w:t>
      </w:r>
      <w:r w:rsidRPr="000E432B">
        <w:rPr>
          <w:rFonts w:cs="Arial"/>
          <w:color w:val="000000"/>
          <w:szCs w:val="22"/>
          <w:shd w:val="clear" w:color="auto" w:fill="FFFFFF"/>
          <w:lang w:val="en-US"/>
        </w:rPr>
        <w:t xml:space="preserve">. </w:t>
      </w:r>
    </w:p>
    <w:p w:rsidR="00AC2AE1" w:rsidRPr="000E432B" w:rsidRDefault="00AC2AE1" w:rsidP="00AC2AE1">
      <w:pPr>
        <w:rPr>
          <w:rFonts w:cs="Arial"/>
          <w:color w:val="000000"/>
          <w:szCs w:val="22"/>
          <w:shd w:val="clear" w:color="auto" w:fill="FFFFFF"/>
          <w:lang w:val="en-US"/>
        </w:rPr>
      </w:pPr>
    </w:p>
    <w:p w:rsidR="00AC2AE1" w:rsidRPr="000E432B" w:rsidRDefault="00AC2AE1" w:rsidP="00AC2AE1">
      <w:pPr>
        <w:rPr>
          <w:rFonts w:eastAsiaTheme="minorHAnsi" w:cs="Arial"/>
          <w:b/>
          <w:sz w:val="18"/>
          <w:szCs w:val="18"/>
          <w:lang w:val="en-US" w:eastAsia="en-US"/>
        </w:rPr>
      </w:pPr>
    </w:p>
    <w:p w:rsidR="00AC2AE1" w:rsidRPr="000E432B" w:rsidRDefault="00AC2AE1" w:rsidP="00AC2AE1">
      <w:pPr>
        <w:rPr>
          <w:rFonts w:eastAsiaTheme="minorHAnsi" w:cs="Arial"/>
          <w:b/>
          <w:sz w:val="18"/>
          <w:szCs w:val="18"/>
          <w:lang w:val="en-US" w:eastAsia="en-US"/>
        </w:rPr>
      </w:pPr>
      <w:r w:rsidRPr="000E432B">
        <w:rPr>
          <w:rFonts w:eastAsiaTheme="minorHAnsi" w:cs="Arial"/>
          <w:b/>
          <w:sz w:val="18"/>
          <w:szCs w:val="18"/>
          <w:lang w:val="en-US" w:eastAsia="en-US"/>
        </w:rPr>
        <w:t xml:space="preserve">Viri: </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Korošec A., Gabrijelčič Blenkuš M., Robnik M., Otroška debelost v Sloveniji. Nacionalni inštitut za javno zdravje, 2018. Ljubljana.</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Jeriček Klanšček H., Koprivnikar H., Drev A., Pucelj V, Zupanič T., Britovšek K. Z zdravjem povezana vedenja v šolskem obdobju med mladostniki v Sloveniji, Izsledki mednarodne raziskave HBSC. NIJZ, Ljubljana, 2014.</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Zdravstveni statistični letopis 2015. NIJZ, 2015. Ljubljana.</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Sedej K.a · Lusa L.b · Battelino T.c · Kotnik P.a Stabilization of Overweight and Obesity in Slovenian Adolescents and Increased Risk in Those Entering Non-Grammar Secondary Schools. Obesity Facts, 2016.</w:t>
      </w:r>
    </w:p>
    <w:p w:rsidR="00AC2AE1" w:rsidRPr="000E432B" w:rsidRDefault="00AC2AE1" w:rsidP="00AC2AE1">
      <w:pPr>
        <w:pStyle w:val="Naslov2"/>
        <w:shd w:val="clear" w:color="auto" w:fill="FFFFFF"/>
        <w:rPr>
          <w:rFonts w:eastAsiaTheme="minorHAnsi"/>
          <w:color w:val="auto"/>
          <w:sz w:val="18"/>
          <w:szCs w:val="18"/>
          <w:lang w:val="it-IT" w:eastAsia="en-US"/>
        </w:rPr>
      </w:pPr>
      <w:r w:rsidRPr="000E432B">
        <w:rPr>
          <w:rFonts w:eastAsiaTheme="minorHAnsi"/>
          <w:color w:val="auto"/>
          <w:sz w:val="18"/>
          <w:szCs w:val="18"/>
          <w:lang w:val="en-US" w:eastAsia="en-US"/>
        </w:rPr>
        <w:t xml:space="preserve">Zupanič M. Slovenski otroci šampioni po bleščečih zobeh. </w:t>
      </w:r>
      <w:r w:rsidRPr="000E432B">
        <w:rPr>
          <w:rFonts w:eastAsiaTheme="minorHAnsi"/>
          <w:color w:val="auto"/>
          <w:sz w:val="18"/>
          <w:szCs w:val="18"/>
          <w:lang w:val="it-IT" w:eastAsia="en-US"/>
        </w:rPr>
        <w:t>Delo, 2018.</w:t>
      </w:r>
    </w:p>
    <w:p w:rsidR="00AC2AE1" w:rsidRPr="000E432B" w:rsidRDefault="00AC2AE1" w:rsidP="00AC2AE1">
      <w:pPr>
        <w:rPr>
          <w:rFonts w:eastAsiaTheme="minorHAnsi" w:cs="Arial"/>
          <w:sz w:val="18"/>
          <w:szCs w:val="18"/>
          <w:lang w:val="it-IT" w:eastAsia="en-US"/>
        </w:rPr>
      </w:pPr>
      <w:r w:rsidRPr="000E432B">
        <w:rPr>
          <w:rFonts w:eastAsiaTheme="minorHAnsi" w:cs="Arial"/>
          <w:sz w:val="18"/>
          <w:szCs w:val="18"/>
          <w:lang w:val="it-IT" w:eastAsia="en-US"/>
        </w:rPr>
        <w:t>https://www.delo.si/novice/slovenija/slovenski-otroci-sampioni-po-blescecih-zobeh-61783.html</w:t>
      </w:r>
    </w:p>
    <w:p w:rsidR="00AC2AE1" w:rsidRDefault="00AC2AE1" w:rsidP="00AC2AE1">
      <w:pPr>
        <w:pStyle w:val="Naslov1"/>
        <w:shd w:val="clear" w:color="auto" w:fill="FEFEFE"/>
        <w:spacing w:before="0" w:after="161"/>
        <w:rPr>
          <w:rFonts w:eastAsiaTheme="minorHAnsi" w:cs="Arial"/>
          <w:color w:val="auto"/>
          <w:sz w:val="18"/>
          <w:szCs w:val="18"/>
          <w:lang w:eastAsia="en-US"/>
        </w:rPr>
      </w:pPr>
      <w:r w:rsidRPr="000E432B">
        <w:rPr>
          <w:rFonts w:eastAsiaTheme="minorHAnsi" w:cs="Arial"/>
          <w:color w:val="auto"/>
          <w:sz w:val="18"/>
          <w:szCs w:val="18"/>
          <w:lang w:eastAsia="en-US"/>
        </w:rPr>
        <w:t xml:space="preserve">Vošnjak A. Danes ima karies le vsak tretji malček. Dnevnik, 2014 https://www.dnevnik.si/1042671517 </w:t>
      </w: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Default="00AC2AE1" w:rsidP="00AC2AE1">
      <w:pPr>
        <w:rPr>
          <w:rFonts w:eastAsiaTheme="minorHAnsi"/>
          <w:lang w:eastAsia="en-US"/>
        </w:rPr>
      </w:pPr>
    </w:p>
    <w:p w:rsidR="00AC2AE1" w:rsidRPr="00AC2AE1" w:rsidRDefault="00AC2AE1" w:rsidP="00AC2AE1">
      <w:pPr>
        <w:spacing w:line="259" w:lineRule="auto"/>
        <w:rPr>
          <w:rFonts w:cs="Arial"/>
          <w:b/>
          <w:bCs/>
          <w:color w:val="00B0F0"/>
          <w:sz w:val="32"/>
          <w:szCs w:val="32"/>
          <w:lang w:val="en-GB"/>
        </w:rPr>
      </w:pPr>
      <w:r>
        <w:rPr>
          <w:rFonts w:cs="Arial"/>
          <w:b/>
          <w:bCs/>
          <w:noProof/>
          <w:sz w:val="28"/>
          <w:szCs w:val="28"/>
          <w:lang w:val="sl-SI" w:eastAsia="sl-SI"/>
        </w:rPr>
        <w:lastRenderedPageBreak/>
        <w:drawing>
          <wp:anchor distT="0" distB="0" distL="114300" distR="114300" simplePos="0" relativeHeight="251679744" behindDoc="0" locked="0" layoutInCell="1" allowOverlap="1">
            <wp:simplePos x="0" y="0"/>
            <wp:positionH relativeFrom="column">
              <wp:posOffset>3091180</wp:posOffset>
            </wp:positionH>
            <wp:positionV relativeFrom="paragraph">
              <wp:posOffset>14605</wp:posOffset>
            </wp:positionV>
            <wp:extent cx="2724150" cy="1781175"/>
            <wp:effectExtent l="19050" t="0" r="19050" b="0"/>
            <wp:wrapThrough wrapText="bothSides">
              <wp:wrapPolygon edited="0">
                <wp:start x="-151" y="0"/>
                <wp:lineTo x="-151" y="21484"/>
                <wp:lineTo x="21751" y="21484"/>
                <wp:lineTo x="21751" y="0"/>
                <wp:lineTo x="-151" y="0"/>
              </wp:wrapPolygon>
            </wp:wrapThrough>
            <wp:docPr id="11" name="Diagramm 19">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a16="http://schemas.microsoft.com/office/drawing/2014/main" xmlns:dgm="http://schemas.openxmlformats.org/drawingml/2006/diagram" xmlns:c="http://schemas.openxmlformats.org/drawingml/2006/chart" xmlns:a14="http://schemas.microsoft.com/office/drawing/2010/main" xmlns:pic="http://schemas.openxmlformats.org/drawingml/2006/pictur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422F798-7D73-4611-8547-C1D5ADB5F1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anchor>
        </w:drawing>
      </w:r>
      <w:r w:rsidRPr="00AC2AE1">
        <w:rPr>
          <w:rFonts w:cs="Arial"/>
          <w:b/>
          <w:bCs/>
          <w:color w:val="00B0F0"/>
          <w:sz w:val="32"/>
          <w:szCs w:val="32"/>
          <w:lang w:val="en-GB"/>
        </w:rPr>
        <w:t xml:space="preserve">Dostop do čiste pitne vode  </w:t>
      </w:r>
    </w:p>
    <w:p w:rsidR="00AC2AE1" w:rsidRPr="000E432B" w:rsidRDefault="00AC2AE1" w:rsidP="00AC2A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sz w:val="18"/>
          <w:szCs w:val="18"/>
          <w:lang w:val="en-US" w:eastAsia="en-US"/>
        </w:rPr>
      </w:pPr>
    </w:p>
    <w:p w:rsidR="00AC2AE1" w:rsidRPr="000E432B" w:rsidRDefault="00AC2AE1" w:rsidP="00AC2AE1">
      <w:pPr>
        <w:spacing w:after="160" w:line="259" w:lineRule="auto"/>
        <w:rPr>
          <w:rFonts w:eastAsiaTheme="minorEastAsia" w:cs="Arial"/>
          <w:b/>
          <w:bCs/>
          <w:szCs w:val="22"/>
          <w:lang w:val="en-US" w:eastAsia="en-US"/>
        </w:rPr>
      </w:pPr>
      <w:r w:rsidRPr="000E432B">
        <w:rPr>
          <w:rFonts w:eastAsiaTheme="minorEastAsia" w:cs="Arial"/>
          <w:b/>
          <w:bCs/>
          <w:szCs w:val="22"/>
          <w:lang w:val="en-US" w:eastAsia="en-US"/>
        </w:rPr>
        <w:t xml:space="preserve">Vodni viri v Sloveniji  </w:t>
      </w:r>
    </w:p>
    <w:p w:rsidR="00AC2AE1" w:rsidRPr="000E432B" w:rsidRDefault="00AC2AE1" w:rsidP="00AC2AE1">
      <w:pPr>
        <w:rPr>
          <w:rFonts w:eastAsiaTheme="minorHAnsi" w:cs="Arial"/>
          <w:szCs w:val="22"/>
          <w:lang w:val="en-US" w:eastAsia="en-US"/>
        </w:rPr>
      </w:pPr>
      <w:r w:rsidRPr="000E432B">
        <w:rPr>
          <w:rFonts w:eastAsiaTheme="minorHAnsi" w:cs="Arial"/>
          <w:szCs w:val="22"/>
          <w:lang w:val="en-US" w:eastAsia="en-US"/>
        </w:rPr>
        <w:t xml:space="preserve">Talna voda: 67% </w:t>
      </w:r>
    </w:p>
    <w:p w:rsidR="00AC2AE1" w:rsidRPr="000E432B" w:rsidRDefault="00AC2AE1" w:rsidP="00AC2AE1">
      <w:pPr>
        <w:rPr>
          <w:rFonts w:eastAsiaTheme="minorHAnsi" w:cs="Arial"/>
          <w:szCs w:val="22"/>
          <w:lang w:val="en-US" w:eastAsia="en-US"/>
        </w:rPr>
      </w:pPr>
      <w:r w:rsidRPr="000E432B">
        <w:rPr>
          <w:rFonts w:eastAsiaTheme="minorHAnsi" w:cs="Arial"/>
          <w:szCs w:val="22"/>
          <w:lang w:val="en-US" w:eastAsia="en-US"/>
        </w:rPr>
        <w:t>Površinska voda: 33%</w:t>
      </w:r>
    </w:p>
    <w:p w:rsidR="00AC2AE1" w:rsidRPr="000E432B" w:rsidRDefault="00AC2AE1" w:rsidP="00AC2AE1">
      <w:pPr>
        <w:rPr>
          <w:rFonts w:eastAsiaTheme="minorHAnsi" w:cs="Arial"/>
          <w:szCs w:val="22"/>
          <w:lang w:val="en-US" w:eastAsia="en-US"/>
        </w:rPr>
      </w:pPr>
    </w:p>
    <w:p w:rsidR="00AC2AE1" w:rsidRPr="000E432B" w:rsidRDefault="00AC2AE1" w:rsidP="00AC2AE1">
      <w:pPr>
        <w:rPr>
          <w:rFonts w:eastAsiaTheme="minorHAnsi" w:cs="Arial"/>
          <w:szCs w:val="22"/>
          <w:lang w:val="en-US" w:eastAsia="en-US"/>
        </w:rPr>
      </w:pPr>
      <w:r w:rsidRPr="000E432B">
        <w:rPr>
          <w:rFonts w:eastAsiaTheme="minorHAnsi" w:cs="Arial"/>
          <w:szCs w:val="22"/>
          <w:lang w:val="en-US" w:eastAsia="en-US"/>
        </w:rPr>
        <w:t xml:space="preserve">Slovenija ima šest izvirov z rekami: Ljubija, Hudinja, Bistrica, Kolpa, Soča and Podresnik. Vse dosegajo zahteve za pitno vodo. </w:t>
      </w:r>
    </w:p>
    <w:p w:rsidR="00AC2AE1" w:rsidRPr="000E432B" w:rsidRDefault="00AC2AE1" w:rsidP="00AC2AE1">
      <w:pPr>
        <w:rPr>
          <w:rFonts w:eastAsiaTheme="minorHAnsi" w:cs="Arial"/>
          <w:szCs w:val="22"/>
          <w:lang w:val="en-US" w:eastAsia="en-US"/>
        </w:rPr>
      </w:pPr>
    </w:p>
    <w:p w:rsidR="00AC2AE1" w:rsidRPr="000E432B" w:rsidRDefault="00AC2AE1" w:rsidP="00AC2AE1">
      <w:pPr>
        <w:rPr>
          <w:rFonts w:eastAsiaTheme="minorHAnsi" w:cs="Arial"/>
          <w:b/>
          <w:sz w:val="18"/>
          <w:szCs w:val="18"/>
          <w:lang w:val="en-US" w:eastAsia="en-US"/>
        </w:rPr>
      </w:pPr>
      <w:r w:rsidRPr="000E432B">
        <w:rPr>
          <w:rFonts w:eastAsiaTheme="minorHAnsi" w:cs="Arial"/>
          <w:b/>
          <w:sz w:val="18"/>
          <w:szCs w:val="18"/>
          <w:lang w:val="en-US" w:eastAsia="en-US"/>
        </w:rPr>
        <w:t xml:space="preserve">Viri: </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Uradni list RS, št. 19/04, 35/04, 26/06, 92/06)(ARSO, 2010)</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 xml:space="preserve">Report on Quality of Drinking Water in the EU, </w:t>
      </w:r>
      <w:hyperlink r:id="rId38" w:history="1">
        <w:r w:rsidRPr="000E432B">
          <w:rPr>
            <w:rFonts w:eastAsiaTheme="minorHAnsi" w:cs="Arial"/>
            <w:sz w:val="18"/>
            <w:szCs w:val="18"/>
            <w:lang w:val="en-US" w:eastAsia="en-US"/>
          </w:rPr>
          <w:t>http://ec.europa.eu/environment/water/water-drink/pdf/reports/EN.pdf</w:t>
        </w:r>
      </w:hyperlink>
    </w:p>
    <w:p w:rsidR="00AC2AE1" w:rsidRPr="000E432B" w:rsidRDefault="00AC2AE1" w:rsidP="00AC2AE1">
      <w:pPr>
        <w:rPr>
          <w:rFonts w:eastAsiaTheme="minorHAnsi" w:cs="Arial"/>
          <w:sz w:val="18"/>
          <w:szCs w:val="18"/>
          <w:lang w:val="en-US" w:eastAsia="en-US"/>
        </w:rPr>
      </w:pPr>
    </w:p>
    <w:p w:rsidR="00AC2AE1" w:rsidRPr="000E432B" w:rsidRDefault="00AC2AE1" w:rsidP="00AC2AE1">
      <w:pPr>
        <w:rPr>
          <w:rFonts w:eastAsiaTheme="minorHAnsi" w:cs="Arial"/>
          <w:szCs w:val="22"/>
          <w:lang w:val="en-US" w:eastAsia="en-US"/>
        </w:rPr>
      </w:pPr>
    </w:p>
    <w:p w:rsidR="00AC2AE1" w:rsidRPr="000E432B" w:rsidRDefault="00AC2AE1" w:rsidP="00AC2AE1">
      <w:pPr>
        <w:spacing w:after="160" w:line="259" w:lineRule="auto"/>
        <w:rPr>
          <w:rFonts w:eastAsiaTheme="minorHAnsi" w:cs="Arial"/>
          <w:b/>
          <w:szCs w:val="22"/>
          <w:lang w:val="en-US" w:eastAsia="en-US"/>
        </w:rPr>
      </w:pPr>
      <w:r w:rsidRPr="000E432B">
        <w:rPr>
          <w:rFonts w:eastAsiaTheme="minorHAnsi" w:cs="Arial"/>
          <w:b/>
          <w:szCs w:val="22"/>
          <w:lang w:val="en-US" w:eastAsia="en-US"/>
        </w:rPr>
        <w:t xml:space="preserve">Oskrba vrtcev in šol z varno pitno vodo </w:t>
      </w:r>
    </w:p>
    <w:p w:rsidR="00AC2AE1" w:rsidRPr="000E432B" w:rsidRDefault="00AC2AE1" w:rsidP="00AC2AE1">
      <w:pPr>
        <w:rPr>
          <w:rFonts w:eastAsiaTheme="minorHAnsi" w:cs="Arial"/>
          <w:szCs w:val="22"/>
          <w:lang w:val="en-US" w:eastAsia="en-US"/>
        </w:rPr>
      </w:pPr>
    </w:p>
    <w:p w:rsidR="00AC2AE1" w:rsidRPr="000E432B" w:rsidRDefault="00AC2AE1" w:rsidP="00AC2AE1">
      <w:pPr>
        <w:jc w:val="both"/>
        <w:rPr>
          <w:rFonts w:eastAsiaTheme="minorHAnsi" w:cs="Arial"/>
          <w:szCs w:val="22"/>
          <w:lang w:val="en-US" w:eastAsia="en-US"/>
        </w:rPr>
      </w:pPr>
      <w:r w:rsidRPr="000E432B">
        <w:rPr>
          <w:rFonts w:eastAsiaTheme="minorHAnsi" w:cs="Arial"/>
          <w:szCs w:val="22"/>
          <w:lang w:val="en-US" w:eastAsia="en-US"/>
        </w:rPr>
        <w:t>V Sloveniji je voda izpod pipe v vrtcih in šolah higiensko neoporečna. Nacionalni Inštitut za Javno Zdravje priporoča pitje te vode, ker je v Sloveniji varna. V primeru, da voda postane oporečna za pitje, morajo biti ljudje o tem obveščeni, medtem časom naj upoštevajo naj navodila lokalne zdravstvene organiacije in pijejo ustekleničeno vodo..</w:t>
      </w:r>
    </w:p>
    <w:p w:rsidR="00AC2AE1" w:rsidRPr="000E432B" w:rsidRDefault="00AC2AE1" w:rsidP="00AC2AE1">
      <w:pPr>
        <w:rPr>
          <w:rFonts w:eastAsiaTheme="minorHAnsi" w:cs="Arial"/>
          <w:sz w:val="18"/>
          <w:szCs w:val="18"/>
          <w:lang w:val="en-US" w:eastAsia="en-US"/>
        </w:rPr>
      </w:pPr>
    </w:p>
    <w:p w:rsidR="00AC2AE1" w:rsidRPr="000E432B" w:rsidRDefault="00AC2AE1" w:rsidP="00AC2AE1">
      <w:pPr>
        <w:rPr>
          <w:rFonts w:eastAsiaTheme="minorHAnsi" w:cs="Arial"/>
          <w:b/>
          <w:sz w:val="18"/>
          <w:szCs w:val="18"/>
          <w:lang w:val="en-US" w:eastAsia="en-US"/>
        </w:rPr>
      </w:pPr>
      <w:r w:rsidRPr="000E432B">
        <w:rPr>
          <w:rFonts w:eastAsiaTheme="minorHAnsi" w:cs="Arial"/>
          <w:b/>
          <w:sz w:val="18"/>
          <w:szCs w:val="18"/>
          <w:lang w:val="en-US" w:eastAsia="en-US"/>
        </w:rPr>
        <w:t>Viri:</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National institute of Public Health, 2016</w:t>
      </w:r>
    </w:p>
    <w:p w:rsidR="00AC2AE1" w:rsidRPr="000E432B" w:rsidRDefault="00B224C0" w:rsidP="00AC2AE1">
      <w:pPr>
        <w:rPr>
          <w:rFonts w:eastAsiaTheme="minorHAnsi" w:cs="Arial"/>
          <w:sz w:val="18"/>
          <w:szCs w:val="18"/>
          <w:lang w:val="en-US" w:eastAsia="en-US"/>
        </w:rPr>
      </w:pPr>
      <w:hyperlink r:id="rId39" w:history="1">
        <w:r w:rsidR="00AC2AE1" w:rsidRPr="000E432B">
          <w:rPr>
            <w:rStyle w:val="Hiperpovezava"/>
            <w:rFonts w:eastAsiaTheme="minorHAnsi" w:cs="Arial"/>
            <w:sz w:val="18"/>
            <w:szCs w:val="18"/>
            <w:lang w:val="en-US" w:eastAsia="en-US"/>
          </w:rPr>
          <w:t>http://www.nijz.si/sl/pitje-tekocin-in-uporaba-energijskih-pijac-pri-otrocih-in-mladostnikih</w:t>
        </w:r>
      </w:hyperlink>
    </w:p>
    <w:p w:rsidR="00AC2AE1" w:rsidRPr="000E432B" w:rsidRDefault="00AC2AE1" w:rsidP="00AC2AE1">
      <w:pPr>
        <w:spacing w:line="259" w:lineRule="auto"/>
        <w:rPr>
          <w:rFonts w:cs="Arial"/>
          <w:b/>
          <w:bCs/>
          <w:sz w:val="28"/>
          <w:szCs w:val="28"/>
          <w:lang w:val="en-GB"/>
        </w:rPr>
      </w:pPr>
    </w:p>
    <w:p w:rsidR="00AC2AE1" w:rsidRPr="00AC2AE1" w:rsidRDefault="00AC2AE1" w:rsidP="00AC2AE1">
      <w:pPr>
        <w:spacing w:line="259" w:lineRule="auto"/>
        <w:rPr>
          <w:rFonts w:cs="Arial"/>
          <w:b/>
          <w:bCs/>
          <w:color w:val="00B0F0"/>
          <w:sz w:val="32"/>
          <w:szCs w:val="32"/>
          <w:lang w:val="en-GB"/>
        </w:rPr>
      </w:pPr>
      <w:r w:rsidRPr="00AC2AE1">
        <w:rPr>
          <w:rFonts w:cs="Arial"/>
          <w:b/>
          <w:bCs/>
          <w:color w:val="00B0F0"/>
          <w:sz w:val="32"/>
          <w:szCs w:val="32"/>
          <w:lang w:val="en-GB"/>
        </w:rPr>
        <w:t xml:space="preserve">Zakonske zahteve in omejitve glede pitja v šolah </w:t>
      </w:r>
    </w:p>
    <w:p w:rsidR="00AC2AE1" w:rsidRPr="000E432B" w:rsidRDefault="00AC2AE1" w:rsidP="00AC2AE1">
      <w:pPr>
        <w:rPr>
          <w:rFonts w:eastAsiaTheme="minorHAnsi" w:cs="Arial"/>
          <w:szCs w:val="22"/>
          <w:lang w:val="en-US" w:eastAsia="en-US"/>
        </w:rPr>
      </w:pPr>
    </w:p>
    <w:p w:rsidR="00AC2AE1" w:rsidRPr="000E432B" w:rsidRDefault="00AC2AE1" w:rsidP="00AC2AE1">
      <w:pPr>
        <w:rPr>
          <w:rFonts w:eastAsiaTheme="minorHAnsi" w:cs="Arial"/>
          <w:szCs w:val="22"/>
          <w:lang w:val="en-US" w:eastAsia="en-US"/>
        </w:rPr>
      </w:pPr>
      <w:r w:rsidRPr="000E432B">
        <w:rPr>
          <w:rFonts w:eastAsiaTheme="minorHAnsi" w:cs="Arial"/>
          <w:szCs w:val="22"/>
          <w:lang w:val="en-US" w:eastAsia="en-US"/>
        </w:rPr>
        <w:t xml:space="preserve">Slovenija ima z zakonom urejena pravila glede prehrane v šoli, kamor spadajo tudi pijače (Zakon o šolski prehrani).  Znotraj osnovnih šol in v njihovi okolici je prepovedano imeti prodajne avtomate za hrano in pijačo. </w:t>
      </w:r>
    </w:p>
    <w:p w:rsidR="00AC2AE1" w:rsidRPr="000E432B" w:rsidRDefault="00AC2AE1" w:rsidP="00AC2AE1">
      <w:pPr>
        <w:rPr>
          <w:rFonts w:eastAsiaTheme="minorHAnsi" w:cs="Arial"/>
          <w:szCs w:val="22"/>
          <w:lang w:val="en-US" w:eastAsia="en-US"/>
        </w:rPr>
      </w:pPr>
    </w:p>
    <w:p w:rsidR="00AC2AE1" w:rsidRPr="00AC2AE1" w:rsidRDefault="00AC2AE1" w:rsidP="00AC2AE1">
      <w:pPr>
        <w:pStyle w:val="Navadensplet"/>
        <w:shd w:val="clear" w:color="auto" w:fill="FFFFFF"/>
        <w:spacing w:before="0" w:beforeAutospacing="0" w:after="0" w:afterAutospacing="0"/>
        <w:rPr>
          <w:rFonts w:eastAsiaTheme="minorHAnsi" w:cs="Arial"/>
          <w:b/>
          <w:color w:val="00B0F0"/>
          <w:sz w:val="32"/>
          <w:szCs w:val="32"/>
          <w:lang w:val="en-US" w:eastAsia="en-US"/>
        </w:rPr>
      </w:pPr>
      <w:r w:rsidRPr="00AC2AE1">
        <w:rPr>
          <w:rFonts w:eastAsiaTheme="minorHAnsi" w:cs="Arial"/>
          <w:b/>
          <w:color w:val="00B0F0"/>
          <w:sz w:val="32"/>
          <w:szCs w:val="32"/>
          <w:lang w:val="en-US" w:eastAsia="en-US"/>
        </w:rPr>
        <w:t xml:space="preserve">Smernice zdravega prehranjevanje v </w:t>
      </w:r>
      <w:r w:rsidRPr="00AC2AE1">
        <w:rPr>
          <w:rFonts w:cs="Arial"/>
          <w:b/>
          <w:color w:val="00B0F0"/>
          <w:sz w:val="32"/>
          <w:szCs w:val="32"/>
          <w:shd w:val="clear" w:color="auto" w:fill="FFFFFF"/>
        </w:rPr>
        <w:t>vzgojno-izobraževalnih ustanovah</w:t>
      </w:r>
      <w:r w:rsidRPr="00AC2AE1">
        <w:rPr>
          <w:rFonts w:eastAsiaTheme="minorHAnsi" w:cs="Arial"/>
          <w:b/>
          <w:color w:val="00B0F0"/>
          <w:sz w:val="32"/>
          <w:szCs w:val="32"/>
          <w:lang w:val="en-US" w:eastAsia="en-US"/>
        </w:rPr>
        <w:t xml:space="preserve">: </w:t>
      </w:r>
    </w:p>
    <w:p w:rsidR="00AC2AE1" w:rsidRPr="000E432B" w:rsidRDefault="00AC2AE1" w:rsidP="00AC2AE1">
      <w:pPr>
        <w:pStyle w:val="Navadensplet"/>
        <w:shd w:val="clear" w:color="auto" w:fill="FFFFFF"/>
        <w:spacing w:before="0" w:beforeAutospacing="0" w:after="0" w:afterAutospacing="0"/>
        <w:jc w:val="both"/>
        <w:rPr>
          <w:rFonts w:eastAsiaTheme="minorHAnsi" w:cs="Arial"/>
          <w:szCs w:val="22"/>
          <w:lang w:val="en-US" w:eastAsia="en-US"/>
        </w:rPr>
      </w:pPr>
    </w:p>
    <w:p w:rsidR="00AC2AE1" w:rsidRPr="000E432B" w:rsidRDefault="00AC2AE1" w:rsidP="00AC2AE1">
      <w:pPr>
        <w:pStyle w:val="Navadensplet"/>
        <w:shd w:val="clear" w:color="auto" w:fill="FFFFFF"/>
        <w:spacing w:before="0" w:beforeAutospacing="0" w:after="0" w:afterAutospacing="0"/>
        <w:jc w:val="both"/>
        <w:rPr>
          <w:rFonts w:eastAsiaTheme="minorHAnsi" w:cs="Arial"/>
          <w:szCs w:val="22"/>
          <w:lang w:val="en-US" w:eastAsia="en-US"/>
        </w:rPr>
      </w:pPr>
      <w:r w:rsidRPr="000E432B">
        <w:rPr>
          <w:rFonts w:eastAsiaTheme="minorHAnsi" w:cs="Arial"/>
          <w:szCs w:val="22"/>
          <w:lang w:val="en-US" w:eastAsia="en-US"/>
        </w:rPr>
        <w:t xml:space="preserve">Med obroki naj se otrokom in mladimi ponudi dovolj tekočine, posebej sveže pitne vode. Otrokom naj se ponudi voda ali nesladkan čaj, ne sadne pijače. Te namreč vsebujejo dodane sladkorje in otrokom vzbujajo občutek sitosti zaradi česar ne pojedo obrokov do konca. Najmlajšim otrokom se ne priporoča pitje gaziranih pijač. </w:t>
      </w:r>
    </w:p>
    <w:p w:rsidR="00AC2AE1" w:rsidRPr="000E432B" w:rsidRDefault="00AC2AE1" w:rsidP="00AC2AE1">
      <w:pPr>
        <w:pStyle w:val="Navadensplet"/>
        <w:shd w:val="clear" w:color="auto" w:fill="FFFFFF"/>
        <w:spacing w:before="0" w:beforeAutospacing="0" w:after="0" w:afterAutospacing="0"/>
        <w:jc w:val="both"/>
        <w:rPr>
          <w:rFonts w:eastAsiaTheme="minorHAnsi" w:cs="Arial"/>
          <w:szCs w:val="22"/>
          <w:lang w:val="en-US" w:eastAsia="en-US"/>
        </w:rPr>
      </w:pPr>
    </w:p>
    <w:p w:rsidR="00AC2AE1" w:rsidRPr="000E432B" w:rsidRDefault="00AC2AE1" w:rsidP="00AC2AE1">
      <w:pPr>
        <w:rPr>
          <w:rFonts w:eastAsiaTheme="minorHAnsi" w:cs="Arial"/>
          <w:sz w:val="18"/>
          <w:szCs w:val="18"/>
          <w:lang w:val="en-US" w:eastAsia="en-US"/>
        </w:rPr>
      </w:pPr>
    </w:p>
    <w:p w:rsidR="00AC2AE1" w:rsidRPr="000E432B" w:rsidRDefault="00AC2AE1" w:rsidP="00AC2AE1">
      <w:pPr>
        <w:rPr>
          <w:rFonts w:eastAsiaTheme="minorHAnsi" w:cs="Arial"/>
          <w:b/>
          <w:sz w:val="18"/>
          <w:szCs w:val="18"/>
          <w:lang w:val="en-US" w:eastAsia="en-US"/>
        </w:rPr>
      </w:pPr>
      <w:r w:rsidRPr="000E432B">
        <w:rPr>
          <w:rFonts w:eastAsiaTheme="minorHAnsi" w:cs="Arial"/>
          <w:b/>
          <w:sz w:val="18"/>
          <w:szCs w:val="18"/>
          <w:lang w:val="en-US" w:eastAsia="en-US"/>
        </w:rPr>
        <w:t xml:space="preserve">Vir: </w:t>
      </w:r>
    </w:p>
    <w:p w:rsidR="00AC2AE1" w:rsidRPr="000E432B" w:rsidRDefault="00AC2AE1" w:rsidP="00AC2AE1">
      <w:pPr>
        <w:rPr>
          <w:rFonts w:eastAsiaTheme="minorHAnsi" w:cs="Arial"/>
          <w:sz w:val="18"/>
          <w:szCs w:val="18"/>
          <w:lang w:val="en-US" w:eastAsia="en-US"/>
        </w:rPr>
      </w:pPr>
      <w:r w:rsidRPr="000E432B">
        <w:rPr>
          <w:rFonts w:eastAsiaTheme="minorHAnsi" w:cs="Arial"/>
          <w:sz w:val="18"/>
          <w:szCs w:val="18"/>
          <w:lang w:val="en-US" w:eastAsia="en-US"/>
        </w:rPr>
        <w:t>Act/Law about Nutrition in School, 4.paragraph, 8. point (Zakon o šolski prehrani, 4. člen, 8. točka)</w:t>
      </w:r>
    </w:p>
    <w:p w:rsidR="00AC2AE1" w:rsidRPr="000E432B" w:rsidRDefault="00AC2AE1" w:rsidP="00AC2AE1">
      <w:pPr>
        <w:pStyle w:val="Navadensplet"/>
        <w:shd w:val="clear" w:color="auto" w:fill="FFFFFF"/>
        <w:spacing w:before="0" w:beforeAutospacing="0" w:after="0" w:afterAutospacing="0"/>
        <w:rPr>
          <w:rFonts w:eastAsiaTheme="minorHAnsi" w:cs="Arial"/>
          <w:sz w:val="18"/>
          <w:szCs w:val="18"/>
          <w:lang w:val="en-US" w:eastAsia="en-US"/>
        </w:rPr>
      </w:pPr>
      <w:r w:rsidRPr="000E432B">
        <w:rPr>
          <w:rFonts w:eastAsiaTheme="minorHAnsi" w:cs="Arial"/>
          <w:sz w:val="18"/>
          <w:szCs w:val="18"/>
          <w:lang w:val="en-US" w:eastAsia="en-US"/>
        </w:rPr>
        <w:t>Guidelines for Healthy Nutrition in schools and kindergartens (Smernice zdravega prehranjevanja v VIZ ustanovah, p.17, 30)</w:t>
      </w:r>
    </w:p>
    <w:p w:rsidR="00146EBD" w:rsidRPr="0024287F" w:rsidRDefault="00146EBD">
      <w:pPr>
        <w:spacing w:after="160" w:line="259" w:lineRule="auto"/>
        <w:rPr>
          <w:rFonts w:ascii="Arial Narrow" w:hAnsi="Arial Narrow" w:cs="Arial"/>
          <w:b/>
          <w:bCs/>
          <w:color w:val="09AEE9"/>
          <w:sz w:val="48"/>
          <w:szCs w:val="48"/>
          <w:lang w:val="sl-SI"/>
        </w:rPr>
      </w:pPr>
      <w:r w:rsidRPr="0024287F">
        <w:rPr>
          <w:rFonts w:ascii="Arial Narrow" w:hAnsi="Arial Narrow" w:cs="Arial"/>
          <w:b/>
          <w:bCs/>
          <w:color w:val="09AEE9"/>
          <w:sz w:val="48"/>
          <w:szCs w:val="48"/>
          <w:lang w:val="sl-SI"/>
        </w:rPr>
        <w:br w:type="page"/>
      </w:r>
    </w:p>
    <w:p w:rsidR="006D1679" w:rsidRPr="000E432B" w:rsidRDefault="006D1679" w:rsidP="006D1679">
      <w:pPr>
        <w:spacing w:line="259" w:lineRule="auto"/>
        <w:rPr>
          <w:rFonts w:cs="Arial"/>
          <w:b/>
          <w:bCs/>
          <w:color w:val="09AEE9"/>
          <w:sz w:val="48"/>
          <w:szCs w:val="48"/>
          <w:lang w:val="en-GB"/>
        </w:rPr>
      </w:pPr>
      <w:r w:rsidRPr="000E432B">
        <w:rPr>
          <w:rFonts w:cs="Arial"/>
          <w:b/>
          <w:bCs/>
          <w:color w:val="09AEE9"/>
          <w:sz w:val="48"/>
          <w:szCs w:val="48"/>
          <w:lang w:val="en-GB"/>
        </w:rPr>
        <w:lastRenderedPageBreak/>
        <w:t xml:space="preserve">Združeno Kraljestvo </w:t>
      </w:r>
    </w:p>
    <w:p w:rsidR="006D1679" w:rsidRPr="000E432B" w:rsidRDefault="006D1679" w:rsidP="006D1679">
      <w:pPr>
        <w:spacing w:line="259" w:lineRule="auto"/>
        <w:rPr>
          <w:rFonts w:eastAsiaTheme="minorHAnsi" w:cs="Arial"/>
          <w:szCs w:val="22"/>
          <w:lang w:val="en-US" w:eastAsia="en-US"/>
        </w:rPr>
      </w:pPr>
    </w:p>
    <w:p w:rsidR="006D1679" w:rsidRPr="006D1679" w:rsidRDefault="006D1679" w:rsidP="006D1679">
      <w:pPr>
        <w:spacing w:line="259" w:lineRule="auto"/>
        <w:rPr>
          <w:rFonts w:cs="Arial"/>
          <w:b/>
          <w:bCs/>
          <w:color w:val="00B0F0"/>
          <w:sz w:val="32"/>
          <w:szCs w:val="32"/>
          <w:lang w:val="sl-SI"/>
        </w:rPr>
      </w:pPr>
      <w:r w:rsidRPr="006D1679">
        <w:rPr>
          <w:rFonts w:cs="Arial"/>
          <w:b/>
          <w:bCs/>
          <w:color w:val="00B0F0"/>
          <w:sz w:val="32"/>
          <w:szCs w:val="32"/>
          <w:lang w:val="sl-SI"/>
        </w:rPr>
        <w:t xml:space="preserve">Navade pri uživanju pijač pri otrocih in mladostnikih </w:t>
      </w:r>
    </w:p>
    <w:p w:rsidR="006D1679" w:rsidRPr="000E432B" w:rsidRDefault="006D1679" w:rsidP="006D1679">
      <w:pPr>
        <w:spacing w:line="259" w:lineRule="auto"/>
        <w:rPr>
          <w:rFonts w:eastAsiaTheme="minorHAnsi" w:cs="Arial"/>
          <w:szCs w:val="22"/>
          <w:lang w:val="en-US" w:eastAsia="en-US"/>
        </w:rPr>
      </w:pPr>
      <w:r w:rsidRPr="000E432B">
        <w:rPr>
          <w:rFonts w:eastAsiaTheme="minorHAnsi" w:cs="Arial"/>
          <w:szCs w:val="22"/>
          <w:lang w:val="en-US" w:eastAsia="en-US"/>
        </w:rPr>
        <w:t xml:space="preserve">V Združenem Kraljestvu je veliko šol že spoznalo koristi, ki jih imajo otroci, če jim nudimo vodo iz pipe, ki je lahko dostopna, ponujena pa jim je v stekleničkah na šolski mizi. </w:t>
      </w:r>
    </w:p>
    <w:p w:rsidR="006D1679" w:rsidRPr="000E432B" w:rsidRDefault="006D1679" w:rsidP="006D1679">
      <w:pPr>
        <w:spacing w:line="259" w:lineRule="auto"/>
        <w:rPr>
          <w:rFonts w:eastAsiaTheme="minorHAnsi" w:cs="Arial"/>
          <w:szCs w:val="22"/>
          <w:lang w:val="en-US" w:eastAsia="en-US"/>
        </w:rPr>
      </w:pPr>
      <w:r w:rsidRPr="000E432B">
        <w:rPr>
          <w:rFonts w:eastAsiaTheme="minorHAnsi" w:cs="Arial"/>
          <w:szCs w:val="22"/>
          <w:lang w:val="en-US" w:eastAsia="en-US"/>
        </w:rPr>
        <w:t xml:space="preserve">Študije so pokazale, da bi otroci morali popiti vsaj 3 - 4 kozarce vode v času pouka, oz. še več, če so telesno aktivni ali če je zunaj toplo. Voda mora biti na priročnem, varnem in higienskem  mestu, otrokom mora biti všeč okus, biti mora primerne temperature in - otroke je potrebno skozi cel dan spodbujati k pitju vode. </w:t>
      </w:r>
    </w:p>
    <w:p w:rsidR="006D1679" w:rsidRPr="000E432B" w:rsidRDefault="006D1679" w:rsidP="006D1679">
      <w:pPr>
        <w:spacing w:line="259" w:lineRule="auto"/>
        <w:jc w:val="both"/>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Od konca 1990 so v Združenem Kraljestvu napisali številna poročila in dokumente, kjer  so se zavzemali za pitje vode v šolah, spodbujanje pitja in podpiranje šol in otrok pri tem. </w:t>
      </w:r>
    </w:p>
    <w:p w:rsidR="006D1679" w:rsidRPr="000E432B" w:rsidRDefault="006D1679" w:rsidP="006D1679">
      <w:pPr>
        <w:spacing w:line="259" w:lineRule="auto"/>
        <w:jc w:val="both"/>
        <w:rPr>
          <w:rFonts w:eastAsiaTheme="minorHAnsi" w:cs="Arial"/>
          <w:szCs w:val="22"/>
          <w:lang w:val="en-US" w:eastAsia="en-US"/>
        </w:rPr>
      </w:pPr>
    </w:p>
    <w:p w:rsidR="006D1679" w:rsidRPr="006D1679" w:rsidRDefault="006D1679" w:rsidP="006D1679">
      <w:pPr>
        <w:rPr>
          <w:rFonts w:eastAsiaTheme="minorHAnsi" w:cs="Arial"/>
          <w:sz w:val="18"/>
          <w:szCs w:val="18"/>
          <w:lang w:val="en-US" w:eastAsia="en-US"/>
        </w:rPr>
      </w:pPr>
      <w:r w:rsidRPr="000E432B">
        <w:rPr>
          <w:rFonts w:eastAsiaTheme="minorHAnsi" w:cs="Arial"/>
          <w:b/>
          <w:sz w:val="18"/>
          <w:szCs w:val="18"/>
          <w:lang w:val="en-US" w:eastAsia="en-US"/>
        </w:rPr>
        <w:t xml:space="preserve">Vir: </w:t>
      </w:r>
      <w:r w:rsidRPr="006D1679">
        <w:rPr>
          <w:rFonts w:eastAsiaTheme="minorHAnsi" w:cs="Arial"/>
          <w:sz w:val="18"/>
          <w:szCs w:val="18"/>
          <w:lang w:val="en-US" w:eastAsia="en-US"/>
        </w:rPr>
        <w:t>https://assets.publishing.service.gov.uk/government/uploads/system/uploads/attachment_data/file/788884/School-food-in-England-April2019-FINAL.pdf</w:t>
      </w:r>
    </w:p>
    <w:p w:rsidR="006D1679" w:rsidRPr="000E432B" w:rsidRDefault="006D1679" w:rsidP="006D1679">
      <w:pPr>
        <w:rPr>
          <w:rFonts w:eastAsiaTheme="minorHAnsi" w:cs="Arial"/>
          <w:b/>
          <w:sz w:val="18"/>
          <w:szCs w:val="18"/>
          <w:lang w:val="en-US" w:eastAsia="en-US"/>
        </w:rPr>
      </w:pPr>
    </w:p>
    <w:p w:rsidR="006D1679" w:rsidRPr="006D1679" w:rsidRDefault="006D1679" w:rsidP="006D1679">
      <w:pPr>
        <w:spacing w:line="259" w:lineRule="auto"/>
        <w:rPr>
          <w:rFonts w:cs="Arial"/>
          <w:b/>
          <w:bCs/>
          <w:color w:val="00B0F0"/>
          <w:sz w:val="32"/>
          <w:szCs w:val="32"/>
          <w:lang w:val="sl-SI"/>
        </w:rPr>
      </w:pPr>
      <w:r w:rsidRPr="006D1679">
        <w:rPr>
          <w:rFonts w:cs="Arial"/>
          <w:b/>
          <w:bCs/>
          <w:color w:val="00B0F0"/>
          <w:sz w:val="32"/>
          <w:szCs w:val="32"/>
          <w:lang w:val="sl-SI"/>
        </w:rPr>
        <w:t xml:space="preserve">Stopnja debelosti, prekomerne telesne teže in kariesa med otroci/mladino </w:t>
      </w:r>
    </w:p>
    <w:p w:rsidR="006D1679" w:rsidRPr="000E432B" w:rsidRDefault="006D1679" w:rsidP="006D1679">
      <w:pPr>
        <w:spacing w:line="259" w:lineRule="auto"/>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Leta 2010 je Oddelek za zdravje začel kampanjo Prehrana v šolah, z namenom, da bi se zoperstavili naraščajoči debelosti med otroci. Cilj kampanje je bil spodbuditi šole da v prodajnih avtomatih prodajajo bolj zdrava živila.   V projekt je bilo vključenih 500 šol, želeli pa so razviti pristop na državni ravni, ki bi spodbujal zdravo prehranjevanje pri otrocih. Želeli so pomagati šolam, učiteljem in vodilnim, da bi razvili podobne dolgoročne pristope.</w:t>
      </w: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Številne skupine v Združenem Krajestvu trdijo, da preveč sladkorja vodi do zdravstvenih težav: debelosti, zobne gnilobe in sladkorne bolezni. Leta 2018 je vlada predstavila zakon o dajatvah na sladke pijače. S tem ukrepom, med ljudmi bolj znanim kot "Sladkorni davek" , so med proizvajalci želeli doseči zmanjšanje sladkorja v sladkih pjačah. Proizvajalci, ki ne bodo uvedli sprememb v sladkorju, bodo plačali dajatev. Pričakujejo, da bodo te skupno narasle na £240 vsako leto.  Denar iz dajatev vlagajo v program Primary Sports Premium, ki je produkt Fundacije Healthy Pupils Capita, in pomagajo šolam nadgraditi njihove športne zmogljivosti ter otrokom omogočiti dostop do vrhunske opreme. Denar iz dajatev bo šolam tudi pomagala zagnati klube zdravega šolskega zajtrka. Od uvedbe davka na sladke pijače so se začeli tudi pozivi lobistov, da bi iz šol izločili sladke pijače in tako pomagali znižati debelost in zobno gnilobo med učenci.  </w:t>
      </w:r>
    </w:p>
    <w:p w:rsidR="006D1679" w:rsidRPr="000E432B" w:rsidRDefault="006D1679" w:rsidP="006D1679">
      <w:pPr>
        <w:spacing w:line="259" w:lineRule="auto"/>
        <w:jc w:val="both"/>
        <w:rPr>
          <w:rFonts w:eastAsiaTheme="minorHAnsi" w:cs="Arial"/>
          <w:szCs w:val="22"/>
          <w:lang w:val="en-US" w:eastAsia="en-US"/>
        </w:rPr>
      </w:pPr>
    </w:p>
    <w:p w:rsidR="006D1679" w:rsidRPr="006D1679" w:rsidRDefault="006D1679" w:rsidP="006D1679">
      <w:pPr>
        <w:rPr>
          <w:rFonts w:eastAsiaTheme="minorHAnsi" w:cs="Arial"/>
          <w:sz w:val="18"/>
          <w:szCs w:val="18"/>
          <w:lang w:val="en-US" w:eastAsia="en-US"/>
        </w:rPr>
      </w:pPr>
      <w:r w:rsidRPr="006D1679">
        <w:rPr>
          <w:rFonts w:eastAsiaTheme="minorHAnsi" w:cs="Arial"/>
          <w:sz w:val="18"/>
          <w:szCs w:val="18"/>
          <w:lang w:val="en-US" w:eastAsia="en-US"/>
        </w:rPr>
        <w:t>Vir:https://assets.publishing.service.gov.uk/government/uploads/system/uploads/attachment_data/file/251020/The_School_Food_Plan.pdf</w:t>
      </w:r>
    </w:p>
    <w:p w:rsidR="006D1679" w:rsidRPr="000E432B" w:rsidRDefault="006D1679" w:rsidP="006D1679">
      <w:pPr>
        <w:spacing w:line="259" w:lineRule="auto"/>
        <w:rPr>
          <w:rFonts w:eastAsiaTheme="minorHAnsi" w:cs="Arial"/>
          <w:szCs w:val="22"/>
          <w:lang w:val="en-US" w:eastAsia="en-US"/>
        </w:rPr>
      </w:pPr>
    </w:p>
    <w:p w:rsidR="006D1679" w:rsidRDefault="006D1679" w:rsidP="006D1679">
      <w:pPr>
        <w:spacing w:line="259" w:lineRule="auto"/>
        <w:rPr>
          <w:rFonts w:cs="Arial"/>
          <w:b/>
          <w:bCs/>
          <w:color w:val="00B0F0"/>
          <w:sz w:val="32"/>
          <w:szCs w:val="32"/>
          <w:lang w:val="en-GB"/>
        </w:rPr>
      </w:pPr>
    </w:p>
    <w:p w:rsidR="006D1679" w:rsidRDefault="006D1679" w:rsidP="006D1679">
      <w:pPr>
        <w:spacing w:line="259" w:lineRule="auto"/>
        <w:rPr>
          <w:rFonts w:cs="Arial"/>
          <w:b/>
          <w:bCs/>
          <w:color w:val="00B0F0"/>
          <w:sz w:val="32"/>
          <w:szCs w:val="32"/>
          <w:lang w:val="en-GB"/>
        </w:rPr>
      </w:pPr>
    </w:p>
    <w:p w:rsidR="006D1679" w:rsidRDefault="006D1679" w:rsidP="006D1679">
      <w:pPr>
        <w:spacing w:line="259" w:lineRule="auto"/>
        <w:rPr>
          <w:rFonts w:cs="Arial"/>
          <w:b/>
          <w:bCs/>
          <w:color w:val="00B0F0"/>
          <w:sz w:val="32"/>
          <w:szCs w:val="32"/>
          <w:lang w:val="en-GB"/>
        </w:rPr>
      </w:pPr>
    </w:p>
    <w:p w:rsidR="006D1679" w:rsidRDefault="006D1679" w:rsidP="006D1679">
      <w:pPr>
        <w:spacing w:line="259" w:lineRule="auto"/>
        <w:rPr>
          <w:rFonts w:cs="Arial"/>
          <w:b/>
          <w:bCs/>
          <w:color w:val="00B0F0"/>
          <w:sz w:val="32"/>
          <w:szCs w:val="32"/>
          <w:lang w:val="en-GB"/>
        </w:rPr>
      </w:pPr>
    </w:p>
    <w:p w:rsidR="006D1679" w:rsidRDefault="006D1679" w:rsidP="006D1679">
      <w:pPr>
        <w:spacing w:line="259" w:lineRule="auto"/>
        <w:rPr>
          <w:rFonts w:cs="Arial"/>
          <w:b/>
          <w:bCs/>
          <w:color w:val="00B0F0"/>
          <w:sz w:val="32"/>
          <w:szCs w:val="32"/>
          <w:lang w:val="en-GB"/>
        </w:rPr>
      </w:pPr>
    </w:p>
    <w:p w:rsidR="006D1679" w:rsidRDefault="006D1679" w:rsidP="006D1679">
      <w:pPr>
        <w:spacing w:line="259" w:lineRule="auto"/>
        <w:rPr>
          <w:rFonts w:cs="Arial"/>
          <w:b/>
          <w:bCs/>
          <w:color w:val="00B0F0"/>
          <w:sz w:val="32"/>
          <w:szCs w:val="32"/>
          <w:lang w:val="en-GB"/>
        </w:rPr>
      </w:pPr>
    </w:p>
    <w:p w:rsidR="006D1679" w:rsidRDefault="006D1679" w:rsidP="006D1679">
      <w:pPr>
        <w:spacing w:line="259" w:lineRule="auto"/>
        <w:rPr>
          <w:rFonts w:cs="Arial"/>
          <w:b/>
          <w:bCs/>
          <w:color w:val="00B0F0"/>
          <w:sz w:val="32"/>
          <w:szCs w:val="32"/>
          <w:lang w:val="en-GB"/>
        </w:rPr>
      </w:pPr>
    </w:p>
    <w:p w:rsidR="006D1679" w:rsidRPr="006D1679" w:rsidRDefault="006D1679" w:rsidP="006D1679">
      <w:pPr>
        <w:spacing w:line="259" w:lineRule="auto"/>
        <w:rPr>
          <w:rFonts w:cs="Arial"/>
          <w:b/>
          <w:bCs/>
          <w:color w:val="00B0F0"/>
          <w:sz w:val="32"/>
          <w:szCs w:val="32"/>
          <w:lang w:val="en-GB"/>
        </w:rPr>
      </w:pPr>
      <w:r w:rsidRPr="006D1679">
        <w:rPr>
          <w:rFonts w:cs="Arial"/>
          <w:b/>
          <w:bCs/>
          <w:color w:val="00B0F0"/>
          <w:sz w:val="32"/>
          <w:szCs w:val="32"/>
          <w:lang w:val="en-GB"/>
        </w:rPr>
        <w:lastRenderedPageBreak/>
        <w:t xml:space="preserve">Dostop do čiste pitne vode  </w:t>
      </w:r>
    </w:p>
    <w:p w:rsidR="006D1679" w:rsidRPr="000E432B" w:rsidRDefault="006D1679" w:rsidP="006D16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s="Arial"/>
          <w:b/>
          <w:sz w:val="18"/>
          <w:szCs w:val="18"/>
          <w:lang w:val="en-US" w:eastAsia="en-US"/>
        </w:rPr>
      </w:pPr>
      <w:r w:rsidRPr="000E432B">
        <w:rPr>
          <w:rFonts w:eastAsiaTheme="minorHAnsi" w:cs="Arial"/>
          <w:b/>
          <w:noProof/>
          <w:sz w:val="18"/>
          <w:szCs w:val="18"/>
          <w:lang w:val="sl-SI" w:eastAsia="sl-SI"/>
        </w:rPr>
        <w:drawing>
          <wp:anchor distT="0" distB="0" distL="114300" distR="114300" simplePos="0" relativeHeight="251681792" behindDoc="0" locked="0" layoutInCell="1" allowOverlap="1">
            <wp:simplePos x="0" y="0"/>
            <wp:positionH relativeFrom="margin">
              <wp:posOffset>2567305</wp:posOffset>
            </wp:positionH>
            <wp:positionV relativeFrom="paragraph">
              <wp:posOffset>60960</wp:posOffset>
            </wp:positionV>
            <wp:extent cx="3276600" cy="1976120"/>
            <wp:effectExtent l="19050" t="0" r="19050" b="5080"/>
            <wp:wrapThrough wrapText="bothSides">
              <wp:wrapPolygon edited="0">
                <wp:start x="-126" y="0"/>
                <wp:lineTo x="-126" y="21656"/>
                <wp:lineTo x="21726" y="21656"/>
                <wp:lineTo x="21726" y="0"/>
                <wp:lineTo x="-126" y="0"/>
              </wp:wrapPolygon>
            </wp:wrapThrough>
            <wp:docPr id="17" name="Diagramm 20">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a16="http://schemas.microsoft.com/office/drawing/2014/main" xmlns:dgm="http://schemas.openxmlformats.org/drawingml/2006/diagram" xmlns:c="http://schemas.openxmlformats.org/drawingml/2006/chart" xmlns:a14="http://schemas.microsoft.com/office/drawing/2010/main" xmlns:pic="http://schemas.openxmlformats.org/drawingml/2006/pictur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913CB31-49F2-4925-988D-C10BA4C937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p>
    <w:p w:rsidR="006D1679" w:rsidRPr="000E432B" w:rsidRDefault="006D1679" w:rsidP="006D1679">
      <w:pPr>
        <w:spacing w:after="160" w:line="259" w:lineRule="auto"/>
        <w:rPr>
          <w:rFonts w:eastAsiaTheme="minorEastAsia" w:cs="Arial"/>
          <w:b/>
          <w:bCs/>
          <w:szCs w:val="22"/>
          <w:lang w:val="en-US" w:eastAsia="en-US"/>
        </w:rPr>
      </w:pPr>
      <w:r w:rsidRPr="000E432B">
        <w:rPr>
          <w:rFonts w:eastAsiaTheme="minorEastAsia" w:cs="Arial"/>
          <w:b/>
          <w:bCs/>
          <w:szCs w:val="22"/>
          <w:lang w:val="en-US" w:eastAsia="en-US"/>
        </w:rPr>
        <w:t>Vodni viri v Združenem Kraljestvu</w:t>
      </w:r>
    </w:p>
    <w:p w:rsidR="006D1679" w:rsidRPr="000E432B" w:rsidRDefault="006D1679" w:rsidP="006D1679">
      <w:pPr>
        <w:spacing w:line="259" w:lineRule="auto"/>
        <w:rPr>
          <w:rFonts w:cs="Arial"/>
          <w:b/>
          <w:bCs/>
          <w:sz w:val="28"/>
          <w:szCs w:val="28"/>
          <w:lang w:val="en-GB"/>
        </w:rPr>
      </w:pPr>
    </w:p>
    <w:p w:rsidR="006D1679" w:rsidRPr="000E432B" w:rsidRDefault="006D1679" w:rsidP="006D1679">
      <w:pPr>
        <w:spacing w:line="259" w:lineRule="auto"/>
        <w:rPr>
          <w:rFonts w:eastAsiaTheme="minorHAnsi" w:cs="Arial"/>
          <w:szCs w:val="22"/>
          <w:lang w:val="en-US" w:eastAsia="en-US"/>
        </w:rPr>
      </w:pPr>
      <w:r w:rsidRPr="000E432B">
        <w:rPr>
          <w:rFonts w:eastAsiaTheme="minorHAnsi" w:cs="Arial"/>
          <w:szCs w:val="22"/>
          <w:lang w:val="en-US" w:eastAsia="en-US"/>
        </w:rPr>
        <w:t>Talna voda: 23%</w:t>
      </w:r>
    </w:p>
    <w:p w:rsidR="006D1679" w:rsidRPr="000E432B" w:rsidRDefault="006D1679" w:rsidP="006D1679">
      <w:pPr>
        <w:spacing w:line="259" w:lineRule="auto"/>
        <w:rPr>
          <w:rFonts w:eastAsiaTheme="minorHAnsi" w:cs="Arial"/>
          <w:szCs w:val="22"/>
          <w:lang w:val="en-US" w:eastAsia="en-US"/>
        </w:rPr>
      </w:pPr>
      <w:r w:rsidRPr="000E432B">
        <w:rPr>
          <w:rFonts w:eastAsiaTheme="minorHAnsi" w:cs="Arial"/>
          <w:szCs w:val="22"/>
          <w:lang w:val="en-US" w:eastAsia="en-US"/>
        </w:rPr>
        <w:t>Površinske vode: 63%</w:t>
      </w:r>
    </w:p>
    <w:p w:rsidR="006D1679" w:rsidRPr="000E432B" w:rsidRDefault="006D1679" w:rsidP="006D1679">
      <w:pPr>
        <w:spacing w:line="259" w:lineRule="auto"/>
        <w:rPr>
          <w:rFonts w:eastAsiaTheme="minorHAnsi" w:cs="Arial"/>
          <w:szCs w:val="22"/>
          <w:lang w:val="en-US" w:eastAsia="en-US"/>
        </w:rPr>
      </w:pPr>
      <w:r w:rsidRPr="000E432B">
        <w:rPr>
          <w:rFonts w:eastAsiaTheme="minorHAnsi" w:cs="Arial"/>
          <w:szCs w:val="22"/>
          <w:lang w:val="en-US" w:eastAsia="en-US"/>
        </w:rPr>
        <w:t>Ostala voda: 23%</w:t>
      </w:r>
    </w:p>
    <w:p w:rsidR="006D1679" w:rsidRPr="000E432B" w:rsidRDefault="006D1679" w:rsidP="006D1679">
      <w:pPr>
        <w:spacing w:line="259" w:lineRule="auto"/>
        <w:rPr>
          <w:rFonts w:eastAsiaTheme="minorHAnsi" w:cs="Arial"/>
          <w:szCs w:val="22"/>
          <w:lang w:val="en-US" w:eastAsia="en-US"/>
        </w:rPr>
      </w:pPr>
    </w:p>
    <w:p w:rsidR="006D1679" w:rsidRPr="000E432B" w:rsidRDefault="006D1679" w:rsidP="006D1679">
      <w:pPr>
        <w:rPr>
          <w:rFonts w:eastAsiaTheme="minorHAnsi" w:cs="Arial"/>
          <w:b/>
          <w:szCs w:val="22"/>
          <w:lang w:val="en-US" w:eastAsia="en-US"/>
        </w:rPr>
      </w:pPr>
    </w:p>
    <w:p w:rsidR="006D1679" w:rsidRPr="000E432B" w:rsidRDefault="006D1679" w:rsidP="006D1679">
      <w:pPr>
        <w:rPr>
          <w:rFonts w:eastAsiaTheme="minorHAnsi" w:cs="Arial"/>
          <w:b/>
          <w:szCs w:val="22"/>
          <w:lang w:val="en-US" w:eastAsia="en-US"/>
        </w:rPr>
      </w:pPr>
    </w:p>
    <w:p w:rsidR="006D1679" w:rsidRPr="000E432B" w:rsidRDefault="006D1679" w:rsidP="006D1679">
      <w:pPr>
        <w:rPr>
          <w:rFonts w:eastAsiaTheme="minorHAnsi" w:cs="Arial"/>
          <w:b/>
          <w:szCs w:val="22"/>
          <w:lang w:val="en-US" w:eastAsia="en-US"/>
        </w:rPr>
      </w:pPr>
    </w:p>
    <w:p w:rsidR="006D1679" w:rsidRPr="000E432B" w:rsidRDefault="006D1679" w:rsidP="006D1679">
      <w:pPr>
        <w:spacing w:after="160" w:line="259" w:lineRule="auto"/>
        <w:rPr>
          <w:rFonts w:eastAsiaTheme="minorHAnsi" w:cs="Arial"/>
          <w:b/>
          <w:szCs w:val="22"/>
          <w:lang w:val="en-US" w:eastAsia="en-US"/>
        </w:rPr>
      </w:pPr>
    </w:p>
    <w:p w:rsidR="006D1679" w:rsidRPr="000E432B" w:rsidRDefault="006D1679" w:rsidP="006D1679">
      <w:pPr>
        <w:spacing w:after="160" w:line="259" w:lineRule="auto"/>
        <w:rPr>
          <w:rFonts w:eastAsiaTheme="minorHAnsi" w:cs="Arial"/>
          <w:b/>
          <w:szCs w:val="22"/>
          <w:lang w:val="en-US" w:eastAsia="en-US"/>
        </w:rPr>
      </w:pPr>
      <w:r w:rsidRPr="000E432B">
        <w:rPr>
          <w:rFonts w:eastAsiaTheme="minorHAnsi" w:cs="Arial"/>
          <w:b/>
          <w:szCs w:val="22"/>
          <w:lang w:val="en-US" w:eastAsia="en-US"/>
        </w:rPr>
        <w:t xml:space="preserve">Oskrba vrtcev in šol z varno pitno vodo </w:t>
      </w:r>
    </w:p>
    <w:p w:rsidR="006D1679" w:rsidRPr="000E432B" w:rsidRDefault="006D1679" w:rsidP="006D1679">
      <w:pPr>
        <w:spacing w:line="259" w:lineRule="auto"/>
        <w:rPr>
          <w:rFonts w:eastAsiaTheme="minorHAnsi" w:cs="Arial"/>
          <w:szCs w:val="22"/>
          <w:lang w:val="en-US" w:eastAsia="en-US"/>
        </w:rPr>
      </w:pPr>
      <w:r w:rsidRPr="000E432B">
        <w:rPr>
          <w:rFonts w:eastAsiaTheme="minorHAnsi" w:cs="Arial"/>
          <w:szCs w:val="22"/>
          <w:lang w:val="en-US" w:eastAsia="en-US"/>
        </w:rPr>
        <w:t>Otroci se z vodo iz pip v šolah  oskrbujejo na tri glavne načine: preko ohlajevalcev, ki hladijo vodovodno vodo, vodne fontane in steklenice/plastenke na mizah. Ohlajevalci  hladijo bodisi vodo iz vodovoda ali ustekleničeno vodo, najboljši pa šo ti, ki hladijo vodo iz pip. Vodo lahko natočijo v kozarčke ali steklenice za večkratno uporabo.  Ti ohlajevalci zagotavljajo stalen vir hladne, sveže, okusne in dostopne vode.</w:t>
      </w:r>
    </w:p>
    <w:p w:rsidR="006D1679" w:rsidRPr="000E432B" w:rsidRDefault="006D1679" w:rsidP="006D1679">
      <w:pPr>
        <w:spacing w:line="259" w:lineRule="auto"/>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Vodne fontane so lahko hlajene ali nehlajene, voda iz njih priteče v obliki curka z istim pritiskom kot izpod pipe, zato ni nujno imeti posode za pitje. Nekatere je mogoče povezati s filtracijskimi sistemi. Poleg pip, je to trenutno najbolj razširjen način oskrbe z vodo v šolah.  </w:t>
      </w:r>
    </w:p>
    <w:p w:rsidR="006D1679" w:rsidRPr="000E432B" w:rsidRDefault="006D1679" w:rsidP="006D1679">
      <w:pPr>
        <w:spacing w:line="259" w:lineRule="auto"/>
        <w:jc w:val="both"/>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Najlažja, najcenejša in najbolj učinkovita za otroke je oskrba z ustekleničeno vodo na šolskih klopeh. Vodne stekleničke lahko zagotovijo šole ali pa jih otroci prinesejo od doma. Uporaba stekleničk za večkratno uporabo je lahko tudi dober način da otroke seznanite s temo plastičnih odpadkov in recikliranja. </w:t>
      </w:r>
    </w:p>
    <w:p w:rsidR="006D1679" w:rsidRPr="000E432B" w:rsidRDefault="006D1679" w:rsidP="006D1679">
      <w:pPr>
        <w:spacing w:line="259" w:lineRule="auto"/>
        <w:jc w:val="both"/>
        <w:rPr>
          <w:rFonts w:eastAsiaTheme="minorHAnsi" w:cs="Arial"/>
          <w:szCs w:val="22"/>
          <w:lang w:val="en-US" w:eastAsia="en-US"/>
        </w:rPr>
      </w:pPr>
    </w:p>
    <w:p w:rsidR="006D1679" w:rsidRPr="006D1679" w:rsidRDefault="006D1679" w:rsidP="006D1679">
      <w:pPr>
        <w:rPr>
          <w:rFonts w:eastAsiaTheme="minorHAnsi" w:cs="Arial"/>
          <w:sz w:val="18"/>
          <w:szCs w:val="18"/>
          <w:lang w:val="en-US" w:eastAsia="en-US"/>
        </w:rPr>
      </w:pPr>
      <w:r w:rsidRPr="000E432B">
        <w:rPr>
          <w:rFonts w:eastAsiaTheme="minorHAnsi" w:cs="Arial"/>
          <w:b/>
          <w:sz w:val="18"/>
          <w:szCs w:val="18"/>
          <w:lang w:val="en-US" w:eastAsia="en-US"/>
        </w:rPr>
        <w:t xml:space="preserve">Vir:  </w:t>
      </w:r>
      <w:r w:rsidRPr="006D1679">
        <w:rPr>
          <w:rFonts w:eastAsiaTheme="minorHAnsi" w:cs="Arial"/>
          <w:sz w:val="18"/>
          <w:szCs w:val="18"/>
          <w:lang w:val="en-US" w:eastAsia="en-US"/>
        </w:rPr>
        <w:t xml:space="preserve">Report on Quality of Drinking Water in the EU, </w:t>
      </w:r>
      <w:hyperlink r:id="rId41" w:history="1">
        <w:r w:rsidRPr="006D1679">
          <w:rPr>
            <w:rFonts w:eastAsiaTheme="minorHAnsi" w:cs="Arial"/>
            <w:sz w:val="18"/>
            <w:szCs w:val="18"/>
            <w:lang w:val="en-US" w:eastAsia="en-US"/>
          </w:rPr>
          <w:t>http://ec.europa.eu/environment/water/water-drink/pdf/reports/EN.pdf</w:t>
        </w:r>
      </w:hyperlink>
    </w:p>
    <w:p w:rsidR="006D1679" w:rsidRPr="000E432B" w:rsidRDefault="006D1679" w:rsidP="006D1679">
      <w:pPr>
        <w:spacing w:line="259" w:lineRule="auto"/>
        <w:jc w:val="both"/>
        <w:rPr>
          <w:rFonts w:eastAsiaTheme="minorHAnsi" w:cs="Arial"/>
          <w:szCs w:val="22"/>
          <w:lang w:val="en-US" w:eastAsia="en-US"/>
        </w:rPr>
      </w:pPr>
    </w:p>
    <w:p w:rsidR="006D1679" w:rsidRPr="006D1679" w:rsidRDefault="006D1679" w:rsidP="006D1679">
      <w:pPr>
        <w:spacing w:line="259" w:lineRule="auto"/>
        <w:rPr>
          <w:rFonts w:cs="Arial"/>
          <w:b/>
          <w:bCs/>
          <w:color w:val="00B0F0"/>
          <w:sz w:val="32"/>
          <w:szCs w:val="32"/>
          <w:lang w:val="en-GB"/>
        </w:rPr>
      </w:pPr>
      <w:r w:rsidRPr="006D1679">
        <w:rPr>
          <w:rFonts w:cs="Arial"/>
          <w:b/>
          <w:bCs/>
          <w:color w:val="00B0F0"/>
          <w:sz w:val="32"/>
          <w:szCs w:val="32"/>
          <w:lang w:val="en-GB"/>
        </w:rPr>
        <w:t xml:space="preserve">Zakonske zahteve in omejitve glede pitja v šolah </w:t>
      </w:r>
    </w:p>
    <w:p w:rsidR="006D1679" w:rsidRPr="000E432B" w:rsidRDefault="006D1679" w:rsidP="006D1679">
      <w:pPr>
        <w:spacing w:line="259" w:lineRule="auto"/>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V šolski zakonodaji iz leta 1999 je navedeno: 'Šola bi morala imeti oskrbo z vodo za potrebe gospodinjstva in ostalega ter oskrbo s pitno vodo. Prav tako so Nacionalna zdravstvena standardna priporočila za šole, leta 1999 kot osnovno zahtevo postavila oskrbo s pitno vodo v šolah za otroke. </w:t>
      </w:r>
    </w:p>
    <w:p w:rsidR="006D1679" w:rsidRPr="000E432B" w:rsidRDefault="006D1679" w:rsidP="006D1679">
      <w:pPr>
        <w:spacing w:line="259" w:lineRule="auto"/>
        <w:jc w:val="both"/>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Leta 2005 je Komisija za nadzor nad šolskimi obroki pripravila poročilo: Spreminjamo mize: spreminjamo šolske obroke. V tem poročilu je komisija predlagala, naj imajo otroci in mladina v šoli ves čas enostaven dostop do brezplačne, sveže pitne vode. Naslednji dokument, ki se je nanašal na to poročilo so bili Šolski standardi prehrane, ki jih je izdal DIES, v katerih je bilo tudi priporočeno spodbujajedovolj pitja primerne vode.</w:t>
      </w:r>
    </w:p>
    <w:p w:rsidR="006D1679" w:rsidRPr="000E432B" w:rsidRDefault="006D1679" w:rsidP="006D1679">
      <w:pPr>
        <w:spacing w:line="259" w:lineRule="auto"/>
        <w:jc w:val="both"/>
        <w:rPr>
          <w:rFonts w:eastAsiaTheme="minorHAnsi" w:cs="Arial"/>
          <w:szCs w:val="22"/>
          <w:lang w:val="en-US" w:eastAsia="en-US"/>
        </w:rPr>
      </w:pPr>
    </w:p>
    <w:p w:rsidR="006D1679"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Leta 2013 sta Henry Dimbleby in John Vincent napisala Načrt šolske prehrane, s katerim naj bi izboljšali šolsko prehrano. Ko je izšel Načrt, je oddelek za izobraževanje izdal celo serijo novih predpisov o hrani, ki jo ponujajo v šolah. Njihovo upoštevanje je postalo obvezno v vseh šolah, ki jih plačuje ministrstvo, v novih akademijah in drugih šolah pa je obvezno od </w:t>
      </w:r>
    </w:p>
    <w:p w:rsidR="006D1679" w:rsidRDefault="006D1679" w:rsidP="006D1679">
      <w:pPr>
        <w:spacing w:line="259" w:lineRule="auto"/>
        <w:jc w:val="both"/>
        <w:rPr>
          <w:rFonts w:eastAsiaTheme="minorHAnsi" w:cs="Arial"/>
          <w:szCs w:val="22"/>
          <w:lang w:val="en-US" w:eastAsia="en-US"/>
        </w:rPr>
      </w:pPr>
    </w:p>
    <w:p w:rsidR="006D1679" w:rsidRDefault="006D1679" w:rsidP="006D1679">
      <w:pPr>
        <w:spacing w:line="259" w:lineRule="auto"/>
        <w:jc w:val="both"/>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januarja 2015. Med ostalim je tudi tu navedeno, da mora biti učencem stalno na razpolago brezplačna, sveža pitna voda. </w:t>
      </w:r>
    </w:p>
    <w:p w:rsidR="006D1679" w:rsidRPr="000E432B" w:rsidRDefault="006D1679" w:rsidP="006D1679">
      <w:pPr>
        <w:spacing w:line="259" w:lineRule="auto"/>
        <w:jc w:val="both"/>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r w:rsidRPr="000E432B">
        <w:rPr>
          <w:rFonts w:eastAsiaTheme="minorHAnsi" w:cs="Arial"/>
          <w:szCs w:val="22"/>
          <w:lang w:val="en-US" w:eastAsia="en-US"/>
        </w:rPr>
        <w:t xml:space="preserve">Zadni dokument, ki ga je izdal Oddelek za izobraževanje so smernice, Šolska prehrana v Angliji: Nasveti za upravne odbore. Te smernice so osnovane na zakonodaji iz 2014: Zahteve za šolske predpise o hrani 2014. Poleg tega, da smernice vodstvu šole svetujejo glede šolske prehrane, poudarjajo tudi, da mora biti pitna voda brazplačna in stalno na razpolago. </w:t>
      </w:r>
    </w:p>
    <w:p w:rsidR="006D1679" w:rsidRPr="000E432B" w:rsidRDefault="006D1679" w:rsidP="006D1679">
      <w:pPr>
        <w:spacing w:line="259" w:lineRule="auto"/>
        <w:jc w:val="both"/>
        <w:rPr>
          <w:rFonts w:eastAsiaTheme="minorHAnsi" w:cs="Arial"/>
          <w:szCs w:val="22"/>
          <w:lang w:val="en-US" w:eastAsia="en-US"/>
        </w:rPr>
      </w:pPr>
    </w:p>
    <w:p w:rsidR="006D1679" w:rsidRPr="000E432B" w:rsidRDefault="006D1679" w:rsidP="006D1679">
      <w:pPr>
        <w:spacing w:line="259" w:lineRule="auto"/>
        <w:jc w:val="both"/>
        <w:rPr>
          <w:rFonts w:eastAsiaTheme="minorHAnsi" w:cs="Arial"/>
          <w:szCs w:val="22"/>
          <w:lang w:val="en-US" w:eastAsia="en-US"/>
        </w:rPr>
      </w:pPr>
    </w:p>
    <w:p w:rsidR="006D1679" w:rsidRPr="000E432B" w:rsidRDefault="006D1679" w:rsidP="006D1679">
      <w:pPr>
        <w:rPr>
          <w:rFonts w:eastAsiaTheme="minorHAnsi" w:cs="Arial"/>
          <w:b/>
          <w:sz w:val="18"/>
          <w:szCs w:val="18"/>
          <w:lang w:val="en-US" w:eastAsia="en-US"/>
        </w:rPr>
      </w:pPr>
      <w:r w:rsidRPr="000E432B">
        <w:rPr>
          <w:rFonts w:eastAsiaTheme="minorHAnsi" w:cs="Arial"/>
          <w:b/>
          <w:sz w:val="18"/>
          <w:szCs w:val="18"/>
          <w:lang w:val="en-US" w:eastAsia="en-US"/>
        </w:rPr>
        <w:t>Vir: http://www.legislation.gov.uk/uksi/1999/2/contents/made</w:t>
      </w:r>
    </w:p>
    <w:p w:rsidR="0083701A" w:rsidRPr="0024287F" w:rsidRDefault="0083701A" w:rsidP="006D1679">
      <w:pPr>
        <w:pStyle w:val="Naslov1"/>
        <w:rPr>
          <w:rFonts w:eastAsiaTheme="minorHAnsi" w:cs="Arial"/>
          <w:bCs/>
          <w:sz w:val="16"/>
          <w:szCs w:val="16"/>
          <w:lang w:val="sl-SI" w:eastAsia="en-US"/>
        </w:rPr>
      </w:pPr>
    </w:p>
    <w:sectPr w:rsidR="0083701A" w:rsidRPr="0024287F" w:rsidSect="007C3732">
      <w:headerReference w:type="default" r:id="rId42"/>
      <w:footerReference w:type="default" r:id="rId43"/>
      <w:footerReference w:type="first" r:id="rId44"/>
      <w:pgSz w:w="11906" w:h="16838"/>
      <w:pgMar w:top="1417" w:right="1417" w:bottom="1134" w:left="1417"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39AD" w:rsidRDefault="009C39AD" w:rsidP="00A702C1">
      <w:r>
        <w:separator/>
      </w:r>
    </w:p>
  </w:endnote>
  <w:endnote w:type="continuationSeparator" w:id="0">
    <w:p w:rsidR="009C39AD" w:rsidRDefault="009C39AD" w:rsidP="00A702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Lucida Grande">
    <w:altName w:val="Segoe UI"/>
    <w:charset w:val="00"/>
    <w:family w:val="auto"/>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87F" w:rsidRPr="00A702C1" w:rsidRDefault="00B224C0" w:rsidP="00A702C1">
    <w:pPr>
      <w:pStyle w:val="Noga"/>
      <w:tabs>
        <w:tab w:val="clear" w:pos="4536"/>
      </w:tabs>
      <w:rPr>
        <w:rFonts w:cs="Arial"/>
        <w:color w:val="0070C0"/>
        <w:sz w:val="18"/>
        <w:szCs w:val="18"/>
      </w:rPr>
    </w:pPr>
    <w:r w:rsidRPr="00B224C0">
      <w:rPr>
        <w:rFonts w:cs="Arial"/>
        <w:noProof/>
        <w:color w:val="0070C0"/>
        <w:sz w:val="18"/>
        <w:szCs w:val="18"/>
        <w:lang w:val="bg-BG" w:eastAsia="bg-BG"/>
      </w:rPr>
      <w:pict>
        <v:line id="Gerader Verbinder 1" o:spid="_x0000_s4097" style="position:absolute;z-index:251659264;visibility:visible" from=".4pt,6.8pt" to="430.1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mNdcgIAABEGAAAOAAAAZHJzL2Uyb0RvYy54bWysVEtvEzEQviPxHyzfyW5Ctk1W3VSor0uB&#10;iAJ3x+tNVvgl283j3zNjZ50WKlARF8ue9zfzeS4u90qSrXC+N7qh41FJidDctL1eN/Tb19t3M0p8&#10;YLpl0mjR0IPw9HLx9s3FztZiYjZGtsIRCKJ9vbMN3YRg66LwfCMU8yNjhQZlZ5xiAZ5uXbSO7SC6&#10;ksWkLM+KnXGtdYYL70F6nZR0EeN3neDhc9d5EYhsKNQW4uniucKzWFyweu2Y3fT8WAb7hyoU6zUk&#10;zaGuWWDk0fW/hVI9d8abLoy4UYXpup6LiAHQjMtf0DxsmBURCzTH29wm///C8k/bpSN9C7OjRDMF&#10;I7oTjuFQvgu36jXextimnfU1WF/ppUOgfK8f7L3hPzzoimdKfHibzPadU2gOSMk+tv2Q2y72gXAQ&#10;VtPqfDapKOGgm1dww5CsHnyt8+FOGEXw0lDZa2wKq9n23odkOpigWGqya+ikmpblMJL2tpcSdWsP&#10;LulCrIE+JpNIN3ElHdkyIArjXOgwjt7yUX00bZJXJYSEhJDjUQGvknQ+iKHkHCgCWPunqar36I4S&#10;79arnKycf7i5mSdA0m5YCjqD6k+5cgXzs6fiXMJgjBWk2C/lh//yKrjTAdhzvNUg/gveMaR7XUJs&#10;0Al0Rnc+iF9MCMI8VaAGYbh5cPgYi3jOpIjsTkSBr34kA/hJfaRuYmvkbThIESesv4gOPgbwMxEh&#10;j/Y5R1JYidbo1gHRsuMfu50cj/boKuK6eo1z9oiZjQ7ZWfXauMQ13KQnaod9/MwAvkv2QwcSbmzB&#10;yrSHpcPy8AV7J3Ep7UhcbE/f0eq0yRc/AQAA//8DAFBLAwQUAAYACAAAACEAImA/BdsAAAAGAQAA&#10;DwAAAGRycy9kb3ducmV2LnhtbEyOX0vDMBTF3wW/Q7iCby6d1TJq06GiE0QQp7A9Zs1tU0xuSpNt&#10;3bf3+qSP5w/n/Krl5J044Bj7QArmswwEUhNMT52Cr8/nqwWImDQZ7QKhghNGWNbnZ5UuTTjSBx7W&#10;qRM8QrHUCmxKQyllbCx6HWdhQOKsDaPXieXYSTPqI497J6+zrJBe98QPVg/4aLH5Xu+9gpfXVdjk&#10;p6fWbe0qtv7m4c2+W6UuL6b7OxAJp/RXhl98RoeamXZhTyYKp4C5E7t5AYLTRZHlIHZs3M5B1pX8&#10;j1//AAAA//8DAFBLAQItABQABgAIAAAAIQC2gziS/gAAAOEBAAATAAAAAAAAAAAAAAAAAAAAAABb&#10;Q29udGVudF9UeXBlc10ueG1sUEsBAi0AFAAGAAgAAAAhADj9If/WAAAAlAEAAAsAAAAAAAAAAAAA&#10;AAAALwEAAF9yZWxzLy5yZWxzUEsBAi0AFAAGAAgAAAAhAN6yY11yAgAAEQYAAA4AAAAAAAAAAAAA&#10;AAAALgIAAGRycy9lMm9Eb2MueG1sUEsBAi0AFAAGAAgAAAAhACJgPwXbAAAABgEAAA8AAAAAAAAA&#10;AAAAAAAAzAQAAGRycy9kb3ducmV2LnhtbFBLBQYAAAAABAAEAPMAAADUBQAAAAA=&#10;" strokeweight="2pt">
          <v:stroke joinstyle="miter"/>
          <o:lock v:ext="edit" shapetype="f"/>
        </v:line>
      </w:pict>
    </w:r>
  </w:p>
  <w:p w:rsidR="0024287F" w:rsidRPr="00610374" w:rsidRDefault="0024287F" w:rsidP="00A702C1">
    <w:pPr>
      <w:pStyle w:val="Noga"/>
      <w:tabs>
        <w:tab w:val="clear" w:pos="4536"/>
      </w:tabs>
      <w:jc w:val="center"/>
      <w:rPr>
        <w:rFonts w:ascii="Arial Narrow" w:hAnsi="Arial Narrow" w:cs="Arial"/>
        <w:color w:val="0070C0"/>
        <w:szCs w:val="22"/>
        <w:lang w:val="en-US"/>
      </w:rPr>
    </w:pPr>
  </w:p>
  <w:p w:rsidR="0024287F" w:rsidRPr="003D5669" w:rsidRDefault="0024287F" w:rsidP="007C3732">
    <w:pPr>
      <w:pStyle w:val="Noga"/>
      <w:tabs>
        <w:tab w:val="clear" w:pos="4536"/>
      </w:tabs>
      <w:jc w:val="center"/>
      <w:rPr>
        <w:rFonts w:cs="Arial"/>
        <w:b/>
        <w:color w:val="34B1D8"/>
        <w:szCs w:val="22"/>
        <w:lang w:val="en-US"/>
      </w:rPr>
    </w:pPr>
    <w:r w:rsidRPr="003D5669">
      <w:rPr>
        <w:rFonts w:cs="Arial"/>
        <w:b/>
        <w:color w:val="34B1D8"/>
        <w:szCs w:val="22"/>
        <w:lang w:val="en-US"/>
      </w:rPr>
      <w:t xml:space="preserve">Erasmus+ </w:t>
    </w:r>
    <w:r>
      <w:rPr>
        <w:rFonts w:cs="Arial"/>
        <w:b/>
        <w:color w:val="34B1D8"/>
        <w:szCs w:val="22"/>
        <w:lang w:val="en-US"/>
      </w:rPr>
      <w:t xml:space="preserve">Vodne šole </w:t>
    </w:r>
    <w:r w:rsidRPr="003D5669">
      <w:rPr>
        <w:rFonts w:cs="Arial"/>
        <w:b/>
        <w:color w:val="34B1D8"/>
        <w:szCs w:val="22"/>
        <w:lang w:val="en-US"/>
      </w:rPr>
      <w:t xml:space="preserve"> – </w:t>
    </w:r>
    <w:r>
      <w:rPr>
        <w:rFonts w:cs="Arial"/>
        <w:b/>
        <w:color w:val="34B1D8"/>
        <w:szCs w:val="22"/>
        <w:lang w:val="en-US"/>
      </w:rPr>
      <w:t xml:space="preserve">Pregled stanja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43050711"/>
      <w:docPartObj>
        <w:docPartGallery w:val="Page Numbers (Bottom of Page)"/>
        <w:docPartUnique/>
      </w:docPartObj>
    </w:sdtPr>
    <w:sdtContent>
      <w:p w:rsidR="0024287F" w:rsidRDefault="00B224C0">
        <w:pPr>
          <w:pStyle w:val="Noga"/>
          <w:jc w:val="right"/>
        </w:pPr>
        <w:fldSimple w:instr="PAGE   \* MERGEFORMAT">
          <w:r w:rsidR="0024287F">
            <w:t>2</w:t>
          </w:r>
        </w:fldSimple>
      </w:p>
    </w:sdtContent>
  </w:sdt>
  <w:p w:rsidR="0024287F" w:rsidRDefault="0024287F">
    <w:pPr>
      <w:pStyle w:val="Nog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39AD" w:rsidRDefault="009C39AD" w:rsidP="00A702C1">
      <w:r>
        <w:separator/>
      </w:r>
    </w:p>
  </w:footnote>
  <w:footnote w:type="continuationSeparator" w:id="0">
    <w:p w:rsidR="009C39AD" w:rsidRDefault="009C39AD" w:rsidP="00A702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87F" w:rsidRDefault="00B224C0">
    <w:pPr>
      <w:pStyle w:val="Glava"/>
    </w:pPr>
    <w:sdt>
      <w:sdtPr>
        <w:id w:val="-1931800252"/>
        <w:docPartObj>
          <w:docPartGallery w:val="Page Numbers (Margins)"/>
          <w:docPartUnique/>
        </w:docPartObj>
      </w:sdtPr>
      <w:sdtContent>
        <w:r w:rsidRPr="00B224C0">
          <w:rPr>
            <w:noProof/>
            <w:lang w:val="bg-BG" w:eastAsia="bg-BG"/>
          </w:rPr>
          <w:pict>
            <v:rect id="Rechteck 5" o:spid="_x0000_s4098" style="position:absolute;margin-left:0;margin-top:0;width:60pt;height:70.5pt;z-index:251665408;visibility:visible;mso-position-horizontal:center;mso-position-horizontal-relative:right-margin-area;mso-position-vertical:center;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LSqgwIAAAQFAAAOAAAAZHJzL2Uyb0RvYy54bWysVFFv0zAQfkfiP1h+b5OUpG2ipdO2UoQ0&#10;YGLwA1zbaaw5trHdpgPx3zk7bdfCC0L0wfXlzufv7vvOV9f7TqIdt05oVeNsnGLEFdVMqE2Nv35Z&#10;jeYYOU8UI1IrXuNn7vD14vWrq95UfKJbLRm3CJIoV/Wmxq33pkoSR1veETfWhitwNtp2xINpNwmz&#10;pIfsnUwmaTpNem2ZsZpy5+DrcnDiRczfNJz6T03juEeyxoDNx9XGdR3WZHFFqo0lphX0AIP8A4qO&#10;CAWXnlItiSdoa8UfqTpBrXa68WOqu0Q3jaA81gDVZOlv1Ty2xPBYCzTHmVOb3P9LSz/uHiwSrMYF&#10;Rop0QNFnTlvP6RMqQnd64yoIejQPNtTnzL2mTw4pfdcSteE31uq+5YQBpizEJxcHguHgKFr3HzSD&#10;5GTrdWzUvrFdSAgtQPvIx/OJD773iMLH2RQoBtYouOZl8aaIfCWkOh421vl3XHcobGpsge6YnOzu&#10;nQ9gSHUMieC1FGwlpIyG3azvpEU7AtJYxV/EDzWeh0kVgpUOx4aMwxfACHcEX0Abqf5RZpM8vZ2U&#10;o9V0Phvlq7wYlbN0Pkqz8racpnmZL1c/A8Asr1rBGFf3QvGj7LL872g9DMAgmCg81Ne4LCZFrP0C&#10;vTsvEnoZ2jlUcRHWCQ9TKEUHfT4FkSrw+lYxOEAqT4Qc9skl/Nhl6MHxP3YlqiAQPwjI79d7yBLU&#10;sNbsGfRgNfAF1MLTAZtW2+8Y9TCGNXbftsRyjOR7BZoqszwPcxuNvJhNwLDnnvW5hygKqWrsMRq2&#10;d36Y9a2xYtPCTVnskdI3oMNGRI28oDqoF0YtFnN4FsIsn9sx6uXxWvwCAAD//wMAUEsDBBQABgAI&#10;AAAAIQBs1R/T2QAAAAUBAAAPAAAAZHJzL2Rvd25yZXYueG1sTI9BT8MwDIXvSPyHyEjcWDIY1Vaa&#10;TghpJ+DAhsTVa7y2onFKk27l3+NxgYtl61nvfa9YT75TRxpiG9jCfGZAEVfBtVxbeN9tbpagYkJ2&#10;2AUmC98UYV1eXhSYu3DiNzpuU63EhGOOFpqU+lzrWDXkMc5CTyzaIQwek5xDrd2AJzH3nb41JtMe&#10;W5aEBnt6aqj63I7eAmYL9/V6uHvZPY8ZrurJbO4/jLXXV9PjA6hEU/p7hjO+oEMpTPswsouqsyBF&#10;0u88axIFai/LYm5Al4X+T1/+AAAA//8DAFBLAQItABQABgAIAAAAIQC2gziS/gAAAOEBAAATAAAA&#10;AAAAAAAAAAAAAAAAAABbQ29udGVudF9UeXBlc10ueG1sUEsBAi0AFAAGAAgAAAAhADj9If/WAAAA&#10;lAEAAAsAAAAAAAAAAAAAAAAALwEAAF9yZWxzLy5yZWxzUEsBAi0AFAAGAAgAAAAhAB9ItKqDAgAA&#10;BAUAAA4AAAAAAAAAAAAAAAAALgIAAGRycy9lMm9Eb2MueG1sUEsBAi0AFAAGAAgAAAAhAGzVH9PZ&#10;AAAABQEAAA8AAAAAAAAAAAAAAAAA3QQAAGRycy9kb3ducmV2LnhtbFBLBQYAAAAABAAEAPMAAADj&#10;BQAAAAA=&#10;" o:allowincell="f" stroked="f">
              <v:textbox>
                <w:txbxContent>
                  <w:sdt>
                    <w:sdtPr>
                      <w:rPr>
                        <w:rFonts w:asciiTheme="majorHAnsi" w:eastAsiaTheme="majorEastAsia" w:hAnsiTheme="majorHAnsi" w:cstheme="majorBidi"/>
                        <w:sz w:val="48"/>
                        <w:szCs w:val="48"/>
                      </w:rPr>
                      <w:id w:val="-1807150379"/>
                      <w:docPartObj>
                        <w:docPartGallery w:val="Page Numbers (Margins)"/>
                        <w:docPartUnique/>
                      </w:docPartObj>
                    </w:sdtPr>
                    <w:sdtContent>
                      <w:p w:rsidR="0024287F" w:rsidRPr="00421041" w:rsidRDefault="00B224C0">
                        <w:pPr>
                          <w:jc w:val="center"/>
                          <w:rPr>
                            <w:rFonts w:asciiTheme="majorHAnsi" w:eastAsiaTheme="majorEastAsia" w:hAnsiTheme="majorHAnsi" w:cstheme="majorBidi"/>
                            <w:sz w:val="72"/>
                            <w:szCs w:val="72"/>
                          </w:rPr>
                        </w:pPr>
                        <w:r w:rsidRPr="00B224C0">
                          <w:rPr>
                            <w:rFonts w:ascii="Arial Narrow" w:eastAsiaTheme="minorEastAsia" w:hAnsi="Arial Narrow"/>
                            <w:b/>
                            <w:color w:val="09AEE9"/>
                            <w:sz w:val="36"/>
                            <w:szCs w:val="36"/>
                          </w:rPr>
                          <w:fldChar w:fldCharType="begin"/>
                        </w:r>
                        <w:r w:rsidR="0024287F" w:rsidRPr="00421041">
                          <w:rPr>
                            <w:rFonts w:ascii="Arial Narrow" w:hAnsi="Arial Narrow"/>
                            <w:b/>
                            <w:color w:val="09AEE9"/>
                            <w:sz w:val="36"/>
                            <w:szCs w:val="36"/>
                          </w:rPr>
                          <w:instrText>PAGE  \* MERGEFORMAT</w:instrText>
                        </w:r>
                        <w:r w:rsidRPr="00B224C0">
                          <w:rPr>
                            <w:rFonts w:ascii="Arial Narrow" w:eastAsiaTheme="minorEastAsia" w:hAnsi="Arial Narrow"/>
                            <w:b/>
                            <w:color w:val="09AEE9"/>
                            <w:sz w:val="36"/>
                            <w:szCs w:val="36"/>
                          </w:rPr>
                          <w:fldChar w:fldCharType="separate"/>
                        </w:r>
                        <w:r w:rsidR="00BB1EAE" w:rsidRPr="00BB1EAE">
                          <w:rPr>
                            <w:rFonts w:ascii="Arial Narrow" w:eastAsiaTheme="majorEastAsia" w:hAnsi="Arial Narrow" w:cstheme="majorBidi"/>
                            <w:b/>
                            <w:noProof/>
                            <w:color w:val="09AEE9"/>
                            <w:sz w:val="36"/>
                            <w:szCs w:val="36"/>
                          </w:rPr>
                          <w:t>1</w:t>
                        </w:r>
                        <w:r w:rsidRPr="00421041">
                          <w:rPr>
                            <w:rFonts w:ascii="Arial Narrow" w:eastAsiaTheme="majorEastAsia" w:hAnsi="Arial Narrow" w:cstheme="majorBidi"/>
                            <w:b/>
                            <w:color w:val="09AEE9"/>
                            <w:sz w:val="36"/>
                            <w:szCs w:val="36"/>
                          </w:rPr>
                          <w:fldChar w:fldCharType="end"/>
                        </w:r>
                      </w:p>
                    </w:sdtContent>
                  </w:sdt>
                </w:txbxContent>
              </v:textbox>
              <w10:wrap anchorx="margin" anchory="page"/>
            </v:rect>
          </w:pict>
        </w:r>
      </w:sdtContent>
    </w:sdt>
    <w:r w:rsidR="0024287F">
      <w:rPr>
        <w:noProof/>
        <w:lang w:val="sl-SI" w:eastAsia="sl-SI"/>
      </w:rPr>
      <w:drawing>
        <wp:anchor distT="0" distB="0" distL="114300" distR="114300" simplePos="0" relativeHeight="251663360" behindDoc="0" locked="0" layoutInCell="1" allowOverlap="1">
          <wp:simplePos x="0" y="0"/>
          <wp:positionH relativeFrom="margin">
            <wp:posOffset>4519930</wp:posOffset>
          </wp:positionH>
          <wp:positionV relativeFrom="topMargin">
            <wp:align>bottom</wp:align>
          </wp:positionV>
          <wp:extent cx="1501140" cy="304800"/>
          <wp:effectExtent l="0" t="0" r="3810" b="0"/>
          <wp:wrapSquare wrapText="bothSides"/>
          <wp:docPr id="3" name="Grafik 7" descr="Logo Erasm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rasmus+.jpg"/>
                  <pic:cNvPicPr/>
                </pic:nvPicPr>
                <pic:blipFill>
                  <a:blip r:embed="rId1"/>
                  <a:stretch>
                    <a:fillRect/>
                  </a:stretch>
                </pic:blipFill>
                <pic:spPr>
                  <a:xfrm>
                    <a:off x="0" y="0"/>
                    <a:ext cx="1501140" cy="304800"/>
                  </a:xfrm>
                  <a:prstGeom prst="rect">
                    <a:avLst/>
                  </a:prstGeom>
                </pic:spPr>
              </pic:pic>
            </a:graphicData>
          </a:graphic>
        </wp:anchor>
      </w:drawing>
    </w:r>
  </w:p>
  <w:p w:rsidR="0024287F" w:rsidRDefault="0024287F">
    <w:pPr>
      <w:pStyle w:val="Glav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4B2F"/>
    <w:multiLevelType w:val="hybridMultilevel"/>
    <w:tmpl w:val="052008AC"/>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04304B1F"/>
    <w:multiLevelType w:val="hybridMultilevel"/>
    <w:tmpl w:val="3C7CCFAA"/>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nsid w:val="0F5F5DE3"/>
    <w:multiLevelType w:val="hybridMultilevel"/>
    <w:tmpl w:val="C4D6E1A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171C546F"/>
    <w:multiLevelType w:val="hybridMultilevel"/>
    <w:tmpl w:val="CEAAF640"/>
    <w:lvl w:ilvl="0" w:tplc="FFFFFFFF">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A04A38"/>
    <w:multiLevelType w:val="hybridMultilevel"/>
    <w:tmpl w:val="162AAA2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2C9C237F"/>
    <w:multiLevelType w:val="multilevel"/>
    <w:tmpl w:val="F306C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CD36670"/>
    <w:multiLevelType w:val="hybridMultilevel"/>
    <w:tmpl w:val="6D9EA6C6"/>
    <w:lvl w:ilvl="0" w:tplc="04070005">
      <w:start w:val="1"/>
      <w:numFmt w:val="bullet"/>
      <w:lvlText w:val=""/>
      <w:lvlJc w:val="left"/>
      <w:pPr>
        <w:ind w:left="360" w:hanging="360"/>
      </w:pPr>
      <w:rPr>
        <w:rFonts w:ascii="Wingdings" w:hAnsi="Wingdings" w:hint="default"/>
      </w:rPr>
    </w:lvl>
    <w:lvl w:ilvl="1" w:tplc="0407000B">
      <w:start w:val="1"/>
      <w:numFmt w:val="bullet"/>
      <w:lvlText w:val=""/>
      <w:lvlJc w:val="left"/>
      <w:pPr>
        <w:ind w:left="1080" w:hanging="360"/>
      </w:pPr>
      <w:rPr>
        <w:rFonts w:ascii="Wingdings" w:hAnsi="Wingdings"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nsid w:val="2DD46B5D"/>
    <w:multiLevelType w:val="hybridMultilevel"/>
    <w:tmpl w:val="3502F096"/>
    <w:lvl w:ilvl="0" w:tplc="04070005">
      <w:start w:val="1"/>
      <w:numFmt w:val="bullet"/>
      <w:lvlText w:val=""/>
      <w:lvlJc w:val="left"/>
      <w:pPr>
        <w:ind w:left="360" w:hanging="360"/>
      </w:pPr>
      <w:rPr>
        <w:rFonts w:ascii="Wingdings" w:hAnsi="Wingdings" w:hint="default"/>
      </w:rPr>
    </w:lvl>
    <w:lvl w:ilvl="1" w:tplc="0407000B">
      <w:start w:val="1"/>
      <w:numFmt w:val="bullet"/>
      <w:lvlText w:val=""/>
      <w:lvlJc w:val="left"/>
      <w:pPr>
        <w:ind w:left="1080" w:hanging="360"/>
      </w:pPr>
      <w:rPr>
        <w:rFonts w:ascii="Wingdings" w:hAnsi="Wingdings"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38CB7AD9"/>
    <w:multiLevelType w:val="hybridMultilevel"/>
    <w:tmpl w:val="8E42048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3C9E3550"/>
    <w:multiLevelType w:val="hybridMultilevel"/>
    <w:tmpl w:val="F7A657D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3D564BAF"/>
    <w:multiLevelType w:val="hybridMultilevel"/>
    <w:tmpl w:val="72B866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3F6954B8"/>
    <w:multiLevelType w:val="hybridMultilevel"/>
    <w:tmpl w:val="A8F2F326"/>
    <w:lvl w:ilvl="0" w:tplc="870EB9F0">
      <w:numFmt w:val="bullet"/>
      <w:lvlText w:val=""/>
      <w:lvlJc w:val="left"/>
      <w:pPr>
        <w:ind w:left="720" w:hanging="360"/>
      </w:pPr>
      <w:rPr>
        <w:rFonts w:ascii="Symbol" w:eastAsia="Times New Roman"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41BC1D3B"/>
    <w:multiLevelType w:val="hybridMultilevel"/>
    <w:tmpl w:val="1842DF20"/>
    <w:lvl w:ilvl="0" w:tplc="C71AC030">
      <w:start w:val="14"/>
      <w:numFmt w:val="bullet"/>
      <w:lvlText w:val="-"/>
      <w:lvlJc w:val="left"/>
      <w:pPr>
        <w:ind w:left="360" w:hanging="360"/>
      </w:pPr>
      <w:rPr>
        <w:rFonts w:ascii="Arial" w:eastAsia="Times New Roman" w:hAnsi="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43000BA4"/>
    <w:multiLevelType w:val="hybridMultilevel"/>
    <w:tmpl w:val="77126624"/>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4">
    <w:nsid w:val="446525AC"/>
    <w:multiLevelType w:val="hybridMultilevel"/>
    <w:tmpl w:val="ECAAF1C2"/>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15">
    <w:nsid w:val="47FC4AEC"/>
    <w:multiLevelType w:val="hybridMultilevel"/>
    <w:tmpl w:val="F88CD9F4"/>
    <w:lvl w:ilvl="0" w:tplc="0405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nsid w:val="4EDF7898"/>
    <w:multiLevelType w:val="hybridMultilevel"/>
    <w:tmpl w:val="64AEBD8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nsid w:val="50547C25"/>
    <w:multiLevelType w:val="hybridMultilevel"/>
    <w:tmpl w:val="73200FDA"/>
    <w:lvl w:ilvl="0" w:tplc="04240001">
      <w:start w:val="1"/>
      <w:numFmt w:val="bullet"/>
      <w:lvlText w:val=""/>
      <w:lvlJc w:val="left"/>
      <w:pPr>
        <w:ind w:left="750" w:hanging="360"/>
      </w:pPr>
      <w:rPr>
        <w:rFonts w:ascii="Symbol" w:hAnsi="Symbol" w:hint="default"/>
      </w:rPr>
    </w:lvl>
    <w:lvl w:ilvl="1" w:tplc="04240003" w:tentative="1">
      <w:start w:val="1"/>
      <w:numFmt w:val="bullet"/>
      <w:lvlText w:val="o"/>
      <w:lvlJc w:val="left"/>
      <w:pPr>
        <w:ind w:left="1470" w:hanging="360"/>
      </w:pPr>
      <w:rPr>
        <w:rFonts w:ascii="Courier New" w:hAnsi="Courier New" w:cs="Courier New" w:hint="default"/>
      </w:rPr>
    </w:lvl>
    <w:lvl w:ilvl="2" w:tplc="04240005" w:tentative="1">
      <w:start w:val="1"/>
      <w:numFmt w:val="bullet"/>
      <w:lvlText w:val=""/>
      <w:lvlJc w:val="left"/>
      <w:pPr>
        <w:ind w:left="2190" w:hanging="360"/>
      </w:pPr>
      <w:rPr>
        <w:rFonts w:ascii="Wingdings" w:hAnsi="Wingdings" w:hint="default"/>
      </w:rPr>
    </w:lvl>
    <w:lvl w:ilvl="3" w:tplc="04240001" w:tentative="1">
      <w:start w:val="1"/>
      <w:numFmt w:val="bullet"/>
      <w:lvlText w:val=""/>
      <w:lvlJc w:val="left"/>
      <w:pPr>
        <w:ind w:left="2910" w:hanging="360"/>
      </w:pPr>
      <w:rPr>
        <w:rFonts w:ascii="Symbol" w:hAnsi="Symbol" w:hint="default"/>
      </w:rPr>
    </w:lvl>
    <w:lvl w:ilvl="4" w:tplc="04240003" w:tentative="1">
      <w:start w:val="1"/>
      <w:numFmt w:val="bullet"/>
      <w:lvlText w:val="o"/>
      <w:lvlJc w:val="left"/>
      <w:pPr>
        <w:ind w:left="3630" w:hanging="360"/>
      </w:pPr>
      <w:rPr>
        <w:rFonts w:ascii="Courier New" w:hAnsi="Courier New" w:cs="Courier New" w:hint="default"/>
      </w:rPr>
    </w:lvl>
    <w:lvl w:ilvl="5" w:tplc="04240005" w:tentative="1">
      <w:start w:val="1"/>
      <w:numFmt w:val="bullet"/>
      <w:lvlText w:val=""/>
      <w:lvlJc w:val="left"/>
      <w:pPr>
        <w:ind w:left="4350" w:hanging="360"/>
      </w:pPr>
      <w:rPr>
        <w:rFonts w:ascii="Wingdings" w:hAnsi="Wingdings" w:hint="default"/>
      </w:rPr>
    </w:lvl>
    <w:lvl w:ilvl="6" w:tplc="04240001" w:tentative="1">
      <w:start w:val="1"/>
      <w:numFmt w:val="bullet"/>
      <w:lvlText w:val=""/>
      <w:lvlJc w:val="left"/>
      <w:pPr>
        <w:ind w:left="5070" w:hanging="360"/>
      </w:pPr>
      <w:rPr>
        <w:rFonts w:ascii="Symbol" w:hAnsi="Symbol" w:hint="default"/>
      </w:rPr>
    </w:lvl>
    <w:lvl w:ilvl="7" w:tplc="04240003" w:tentative="1">
      <w:start w:val="1"/>
      <w:numFmt w:val="bullet"/>
      <w:lvlText w:val="o"/>
      <w:lvlJc w:val="left"/>
      <w:pPr>
        <w:ind w:left="5790" w:hanging="360"/>
      </w:pPr>
      <w:rPr>
        <w:rFonts w:ascii="Courier New" w:hAnsi="Courier New" w:cs="Courier New" w:hint="default"/>
      </w:rPr>
    </w:lvl>
    <w:lvl w:ilvl="8" w:tplc="04240005" w:tentative="1">
      <w:start w:val="1"/>
      <w:numFmt w:val="bullet"/>
      <w:lvlText w:val=""/>
      <w:lvlJc w:val="left"/>
      <w:pPr>
        <w:ind w:left="6510" w:hanging="360"/>
      </w:pPr>
      <w:rPr>
        <w:rFonts w:ascii="Wingdings" w:hAnsi="Wingdings" w:hint="default"/>
      </w:rPr>
    </w:lvl>
  </w:abstractNum>
  <w:abstractNum w:abstractNumId="18">
    <w:nsid w:val="50CD0428"/>
    <w:multiLevelType w:val="hybridMultilevel"/>
    <w:tmpl w:val="5DE811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5241466D"/>
    <w:multiLevelType w:val="hybridMultilevel"/>
    <w:tmpl w:val="26783064"/>
    <w:lvl w:ilvl="0" w:tplc="FFFFFFFF">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0">
    <w:nsid w:val="54504904"/>
    <w:multiLevelType w:val="hybridMultilevel"/>
    <w:tmpl w:val="E4FC546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nsid w:val="56A66A1C"/>
    <w:multiLevelType w:val="hybridMultilevel"/>
    <w:tmpl w:val="10A62B2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63BC70CE"/>
    <w:multiLevelType w:val="hybridMultilevel"/>
    <w:tmpl w:val="ACDAB55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3">
    <w:nsid w:val="649E410D"/>
    <w:multiLevelType w:val="hybridMultilevel"/>
    <w:tmpl w:val="3E0E20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5C92DEB"/>
    <w:multiLevelType w:val="hybridMultilevel"/>
    <w:tmpl w:val="F45CFF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65E6B7D"/>
    <w:multiLevelType w:val="hybridMultilevel"/>
    <w:tmpl w:val="9170D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72F4EEE"/>
    <w:multiLevelType w:val="hybridMultilevel"/>
    <w:tmpl w:val="411C3EBC"/>
    <w:lvl w:ilvl="0" w:tplc="04070001">
      <w:start w:val="1"/>
      <w:numFmt w:val="bullet"/>
      <w:lvlText w:val=""/>
      <w:lvlJc w:val="left"/>
      <w:pPr>
        <w:ind w:left="360" w:hanging="360"/>
      </w:pPr>
      <w:rPr>
        <w:rFonts w:ascii="Symbol" w:hAnsi="Symbol" w:hint="default"/>
      </w:rPr>
    </w:lvl>
    <w:lvl w:ilvl="1" w:tplc="C71AC030">
      <w:start w:val="14"/>
      <w:numFmt w:val="bullet"/>
      <w:lvlText w:val="-"/>
      <w:lvlJc w:val="left"/>
      <w:pPr>
        <w:ind w:left="1080" w:hanging="360"/>
      </w:pPr>
      <w:rPr>
        <w:rFonts w:ascii="Arial" w:eastAsia="Times New Roman" w:hAnsi="Arial" w:hint="default"/>
      </w:rPr>
    </w:lvl>
    <w:lvl w:ilvl="2" w:tplc="0407001B">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7">
    <w:nsid w:val="67F32092"/>
    <w:multiLevelType w:val="hybridMultilevel"/>
    <w:tmpl w:val="82022F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6CC51F0A"/>
    <w:multiLevelType w:val="hybridMultilevel"/>
    <w:tmpl w:val="0186F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26D00DB"/>
    <w:multiLevelType w:val="hybridMultilevel"/>
    <w:tmpl w:val="DDF0ECF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35602A6"/>
    <w:multiLevelType w:val="hybridMultilevel"/>
    <w:tmpl w:val="9B187AD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nsid w:val="73B41CF5"/>
    <w:multiLevelType w:val="hybridMultilevel"/>
    <w:tmpl w:val="1F2C588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73EE4780"/>
    <w:multiLevelType w:val="hybridMultilevel"/>
    <w:tmpl w:val="8876BD2C"/>
    <w:lvl w:ilvl="0" w:tplc="FFFFFFFF">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7B372E52"/>
    <w:multiLevelType w:val="hybridMultilevel"/>
    <w:tmpl w:val="78EED9E6"/>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4">
    <w:nsid w:val="7C075E6B"/>
    <w:multiLevelType w:val="hybridMultilevel"/>
    <w:tmpl w:val="ED8CD0DC"/>
    <w:lvl w:ilvl="0" w:tplc="04070001">
      <w:start w:val="1"/>
      <w:numFmt w:val="bullet"/>
      <w:lvlText w:val=""/>
      <w:lvlJc w:val="left"/>
      <w:pPr>
        <w:ind w:left="360" w:hanging="360"/>
      </w:pPr>
      <w:rPr>
        <w:rFonts w:ascii="Symbol" w:hAnsi="Symbol" w:hint="default"/>
      </w:rPr>
    </w:lvl>
    <w:lvl w:ilvl="1" w:tplc="C71AC030">
      <w:start w:val="14"/>
      <w:numFmt w:val="bullet"/>
      <w:lvlText w:val="-"/>
      <w:lvlJc w:val="left"/>
      <w:pPr>
        <w:ind w:left="1080" w:hanging="360"/>
      </w:pPr>
      <w:rPr>
        <w:rFonts w:ascii="Arial" w:eastAsia="Times New Roman" w:hAnsi="Arial" w:hint="default"/>
      </w:rPr>
    </w:lvl>
    <w:lvl w:ilvl="2" w:tplc="335220F4">
      <w:start w:val="1"/>
      <w:numFmt w:val="bullet"/>
      <w:lvlText w:val=""/>
      <w:lvlJc w:val="left"/>
      <w:pPr>
        <w:ind w:left="1800" w:hanging="180"/>
      </w:pPr>
      <w:rPr>
        <w:rFonts w:ascii="Symbol" w:hAnsi="Symbol" w:hint="default"/>
      </w:r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26"/>
  </w:num>
  <w:num w:numId="2">
    <w:abstractNumId w:val="34"/>
  </w:num>
  <w:num w:numId="3">
    <w:abstractNumId w:val="24"/>
  </w:num>
  <w:num w:numId="4">
    <w:abstractNumId w:val="1"/>
  </w:num>
  <w:num w:numId="5">
    <w:abstractNumId w:val="27"/>
  </w:num>
  <w:num w:numId="6">
    <w:abstractNumId w:val="20"/>
  </w:num>
  <w:num w:numId="7">
    <w:abstractNumId w:val="13"/>
  </w:num>
  <w:num w:numId="8">
    <w:abstractNumId w:val="0"/>
  </w:num>
  <w:num w:numId="9">
    <w:abstractNumId w:val="9"/>
  </w:num>
  <w:num w:numId="10">
    <w:abstractNumId w:val="15"/>
  </w:num>
  <w:num w:numId="11">
    <w:abstractNumId w:val="17"/>
  </w:num>
  <w:num w:numId="12">
    <w:abstractNumId w:val="8"/>
  </w:num>
  <w:num w:numId="13">
    <w:abstractNumId w:val="25"/>
  </w:num>
  <w:num w:numId="14">
    <w:abstractNumId w:val="29"/>
  </w:num>
  <w:num w:numId="15">
    <w:abstractNumId w:val="7"/>
  </w:num>
  <w:num w:numId="16">
    <w:abstractNumId w:val="6"/>
  </w:num>
  <w:num w:numId="17">
    <w:abstractNumId w:val="19"/>
  </w:num>
  <w:num w:numId="18">
    <w:abstractNumId w:val="33"/>
  </w:num>
  <w:num w:numId="19">
    <w:abstractNumId w:val="3"/>
  </w:num>
  <w:num w:numId="20">
    <w:abstractNumId w:val="11"/>
  </w:num>
  <w:num w:numId="21">
    <w:abstractNumId w:val="32"/>
  </w:num>
  <w:num w:numId="22">
    <w:abstractNumId w:val="4"/>
  </w:num>
  <w:num w:numId="23">
    <w:abstractNumId w:val="5"/>
  </w:num>
  <w:num w:numId="24">
    <w:abstractNumId w:val="2"/>
  </w:num>
  <w:num w:numId="25">
    <w:abstractNumId w:val="16"/>
  </w:num>
  <w:num w:numId="26">
    <w:abstractNumId w:val="10"/>
  </w:num>
  <w:num w:numId="27">
    <w:abstractNumId w:val="30"/>
  </w:num>
  <w:num w:numId="28">
    <w:abstractNumId w:val="14"/>
  </w:num>
  <w:num w:numId="29">
    <w:abstractNumId w:val="22"/>
  </w:num>
  <w:num w:numId="30">
    <w:abstractNumId w:val="23"/>
  </w:num>
  <w:num w:numId="31">
    <w:abstractNumId w:val="28"/>
  </w:num>
  <w:num w:numId="32">
    <w:abstractNumId w:val="18"/>
  </w:num>
  <w:num w:numId="33">
    <w:abstractNumId w:val="12"/>
  </w:num>
  <w:num w:numId="34">
    <w:abstractNumId w:val="21"/>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characterSpacingControl w:val="doNotCompress"/>
  <w:hdrShapeDefaults>
    <o:shapedefaults v:ext="edit" spidmax="11266"/>
    <o:shapelayout v:ext="edit">
      <o:idmap v:ext="edit" data="4"/>
    </o:shapelayout>
  </w:hdrShapeDefaults>
  <w:footnotePr>
    <w:footnote w:id="-1"/>
    <w:footnote w:id="0"/>
  </w:footnotePr>
  <w:endnotePr>
    <w:endnote w:id="-1"/>
    <w:endnote w:id="0"/>
  </w:endnotePr>
  <w:compat/>
  <w:rsids>
    <w:rsidRoot w:val="0083701A"/>
    <w:rsid w:val="00012326"/>
    <w:rsid w:val="00012BA0"/>
    <w:rsid w:val="00012FB1"/>
    <w:rsid w:val="00060590"/>
    <w:rsid w:val="00061B58"/>
    <w:rsid w:val="00076A99"/>
    <w:rsid w:val="000822B0"/>
    <w:rsid w:val="0008307B"/>
    <w:rsid w:val="000A7C14"/>
    <w:rsid w:val="000B0068"/>
    <w:rsid w:val="000C23AF"/>
    <w:rsid w:val="000C6847"/>
    <w:rsid w:val="000F1D24"/>
    <w:rsid w:val="000F6895"/>
    <w:rsid w:val="001149FA"/>
    <w:rsid w:val="001231E8"/>
    <w:rsid w:val="00133B83"/>
    <w:rsid w:val="00141876"/>
    <w:rsid w:val="001437F2"/>
    <w:rsid w:val="00146EBD"/>
    <w:rsid w:val="001541CC"/>
    <w:rsid w:val="001600BB"/>
    <w:rsid w:val="00165DE1"/>
    <w:rsid w:val="00171607"/>
    <w:rsid w:val="00180845"/>
    <w:rsid w:val="001A32A4"/>
    <w:rsid w:val="001B3D73"/>
    <w:rsid w:val="001B407E"/>
    <w:rsid w:val="001B49E5"/>
    <w:rsid w:val="001B631C"/>
    <w:rsid w:val="001C704D"/>
    <w:rsid w:val="001D4793"/>
    <w:rsid w:val="001D5612"/>
    <w:rsid w:val="002000A4"/>
    <w:rsid w:val="0022533D"/>
    <w:rsid w:val="00231EAE"/>
    <w:rsid w:val="0023394D"/>
    <w:rsid w:val="0024181E"/>
    <w:rsid w:val="0024287F"/>
    <w:rsid w:val="00245278"/>
    <w:rsid w:val="0024571F"/>
    <w:rsid w:val="0026096A"/>
    <w:rsid w:val="002950EE"/>
    <w:rsid w:val="002A3925"/>
    <w:rsid w:val="002C7147"/>
    <w:rsid w:val="002D2655"/>
    <w:rsid w:val="002E21A6"/>
    <w:rsid w:val="002E5694"/>
    <w:rsid w:val="002F1128"/>
    <w:rsid w:val="002F1B62"/>
    <w:rsid w:val="002F23D0"/>
    <w:rsid w:val="002F5D4D"/>
    <w:rsid w:val="003103EA"/>
    <w:rsid w:val="0031393E"/>
    <w:rsid w:val="0031769C"/>
    <w:rsid w:val="00333B73"/>
    <w:rsid w:val="00340882"/>
    <w:rsid w:val="00347615"/>
    <w:rsid w:val="003551D7"/>
    <w:rsid w:val="0036049D"/>
    <w:rsid w:val="003721C4"/>
    <w:rsid w:val="00374418"/>
    <w:rsid w:val="0038061C"/>
    <w:rsid w:val="00390196"/>
    <w:rsid w:val="003A1A9F"/>
    <w:rsid w:val="003A3C71"/>
    <w:rsid w:val="003B7BB1"/>
    <w:rsid w:val="003C21C8"/>
    <w:rsid w:val="003C3E02"/>
    <w:rsid w:val="003D1827"/>
    <w:rsid w:val="003D2676"/>
    <w:rsid w:val="003D2973"/>
    <w:rsid w:val="003D5669"/>
    <w:rsid w:val="003E7CE4"/>
    <w:rsid w:val="00416FD0"/>
    <w:rsid w:val="00417307"/>
    <w:rsid w:val="00420FE8"/>
    <w:rsid w:val="00421041"/>
    <w:rsid w:val="004214BD"/>
    <w:rsid w:val="004261D5"/>
    <w:rsid w:val="00426CA6"/>
    <w:rsid w:val="00431184"/>
    <w:rsid w:val="00433268"/>
    <w:rsid w:val="0043719F"/>
    <w:rsid w:val="00480465"/>
    <w:rsid w:val="00484933"/>
    <w:rsid w:val="00487521"/>
    <w:rsid w:val="004A0C0F"/>
    <w:rsid w:val="004D3BB6"/>
    <w:rsid w:val="004D5E01"/>
    <w:rsid w:val="004E2268"/>
    <w:rsid w:val="004E627A"/>
    <w:rsid w:val="004F0CB4"/>
    <w:rsid w:val="00515A5D"/>
    <w:rsid w:val="00526AB2"/>
    <w:rsid w:val="00552D14"/>
    <w:rsid w:val="005601D6"/>
    <w:rsid w:val="005632C8"/>
    <w:rsid w:val="005720FF"/>
    <w:rsid w:val="00586BF0"/>
    <w:rsid w:val="00587C93"/>
    <w:rsid w:val="005B3B3E"/>
    <w:rsid w:val="005B42E7"/>
    <w:rsid w:val="005D4870"/>
    <w:rsid w:val="005D7F8B"/>
    <w:rsid w:val="005E0E75"/>
    <w:rsid w:val="005F089F"/>
    <w:rsid w:val="005F5FB0"/>
    <w:rsid w:val="00602E5B"/>
    <w:rsid w:val="00604065"/>
    <w:rsid w:val="00610374"/>
    <w:rsid w:val="006604B1"/>
    <w:rsid w:val="00665DE1"/>
    <w:rsid w:val="0066740F"/>
    <w:rsid w:val="006700CB"/>
    <w:rsid w:val="0067162E"/>
    <w:rsid w:val="0067369E"/>
    <w:rsid w:val="00677185"/>
    <w:rsid w:val="00686E8B"/>
    <w:rsid w:val="00690CDD"/>
    <w:rsid w:val="006A4B12"/>
    <w:rsid w:val="006A5C00"/>
    <w:rsid w:val="006A7B0C"/>
    <w:rsid w:val="006C0E37"/>
    <w:rsid w:val="006D1679"/>
    <w:rsid w:val="006D50D6"/>
    <w:rsid w:val="006E32DF"/>
    <w:rsid w:val="006F0DF4"/>
    <w:rsid w:val="006F102B"/>
    <w:rsid w:val="006F6B04"/>
    <w:rsid w:val="00700ECB"/>
    <w:rsid w:val="00702429"/>
    <w:rsid w:val="00707C2A"/>
    <w:rsid w:val="00713240"/>
    <w:rsid w:val="00725793"/>
    <w:rsid w:val="0075654F"/>
    <w:rsid w:val="007677BF"/>
    <w:rsid w:val="0077045F"/>
    <w:rsid w:val="00782E7E"/>
    <w:rsid w:val="00787F02"/>
    <w:rsid w:val="007A0330"/>
    <w:rsid w:val="007A16DA"/>
    <w:rsid w:val="007A5E27"/>
    <w:rsid w:val="007B4408"/>
    <w:rsid w:val="007C3732"/>
    <w:rsid w:val="007D2AD6"/>
    <w:rsid w:val="007F2FB2"/>
    <w:rsid w:val="007F7047"/>
    <w:rsid w:val="008036DA"/>
    <w:rsid w:val="00805D40"/>
    <w:rsid w:val="008106D7"/>
    <w:rsid w:val="008157E5"/>
    <w:rsid w:val="00820150"/>
    <w:rsid w:val="00832B2A"/>
    <w:rsid w:val="00832CDB"/>
    <w:rsid w:val="0083675A"/>
    <w:rsid w:val="0083701A"/>
    <w:rsid w:val="00840EE6"/>
    <w:rsid w:val="00842501"/>
    <w:rsid w:val="008434B6"/>
    <w:rsid w:val="008750B7"/>
    <w:rsid w:val="00875128"/>
    <w:rsid w:val="00885F21"/>
    <w:rsid w:val="008A69CB"/>
    <w:rsid w:val="008B0940"/>
    <w:rsid w:val="008B4779"/>
    <w:rsid w:val="008B7407"/>
    <w:rsid w:val="008B7E44"/>
    <w:rsid w:val="008E0048"/>
    <w:rsid w:val="008E1411"/>
    <w:rsid w:val="008E1DEC"/>
    <w:rsid w:val="0093062D"/>
    <w:rsid w:val="00933FCA"/>
    <w:rsid w:val="00957A51"/>
    <w:rsid w:val="00973543"/>
    <w:rsid w:val="009924EA"/>
    <w:rsid w:val="009A601F"/>
    <w:rsid w:val="009B0906"/>
    <w:rsid w:val="009C39AD"/>
    <w:rsid w:val="009D153A"/>
    <w:rsid w:val="009F710C"/>
    <w:rsid w:val="00A04AE3"/>
    <w:rsid w:val="00A133A0"/>
    <w:rsid w:val="00A20A21"/>
    <w:rsid w:val="00A34E48"/>
    <w:rsid w:val="00A55A1F"/>
    <w:rsid w:val="00A60454"/>
    <w:rsid w:val="00A64DE7"/>
    <w:rsid w:val="00A654CE"/>
    <w:rsid w:val="00A702C1"/>
    <w:rsid w:val="00A830BD"/>
    <w:rsid w:val="00A865D6"/>
    <w:rsid w:val="00A8686E"/>
    <w:rsid w:val="00A93941"/>
    <w:rsid w:val="00A960C8"/>
    <w:rsid w:val="00AC1CF2"/>
    <w:rsid w:val="00AC2AE1"/>
    <w:rsid w:val="00AC2EBB"/>
    <w:rsid w:val="00AC3A66"/>
    <w:rsid w:val="00AC3D4F"/>
    <w:rsid w:val="00AD18DE"/>
    <w:rsid w:val="00AF2A48"/>
    <w:rsid w:val="00AF4CEE"/>
    <w:rsid w:val="00AF7BAE"/>
    <w:rsid w:val="00B0412A"/>
    <w:rsid w:val="00B12E7C"/>
    <w:rsid w:val="00B21633"/>
    <w:rsid w:val="00B224C0"/>
    <w:rsid w:val="00B22C16"/>
    <w:rsid w:val="00B637A9"/>
    <w:rsid w:val="00B6605D"/>
    <w:rsid w:val="00B66EC6"/>
    <w:rsid w:val="00B704DF"/>
    <w:rsid w:val="00B77936"/>
    <w:rsid w:val="00B85264"/>
    <w:rsid w:val="00B86269"/>
    <w:rsid w:val="00BA7E3D"/>
    <w:rsid w:val="00BB1EAE"/>
    <w:rsid w:val="00BB24C8"/>
    <w:rsid w:val="00BC0BF3"/>
    <w:rsid w:val="00BC6A5B"/>
    <w:rsid w:val="00BD1EDD"/>
    <w:rsid w:val="00BD573B"/>
    <w:rsid w:val="00BD661D"/>
    <w:rsid w:val="00BE2DE5"/>
    <w:rsid w:val="00BF4615"/>
    <w:rsid w:val="00BF5E6E"/>
    <w:rsid w:val="00C00742"/>
    <w:rsid w:val="00C33FC1"/>
    <w:rsid w:val="00C3584B"/>
    <w:rsid w:val="00C47F28"/>
    <w:rsid w:val="00C60985"/>
    <w:rsid w:val="00C62252"/>
    <w:rsid w:val="00C629B1"/>
    <w:rsid w:val="00CA1B14"/>
    <w:rsid w:val="00CA6656"/>
    <w:rsid w:val="00CC1FC5"/>
    <w:rsid w:val="00CC6347"/>
    <w:rsid w:val="00CE40BE"/>
    <w:rsid w:val="00CF291B"/>
    <w:rsid w:val="00CF458E"/>
    <w:rsid w:val="00D04699"/>
    <w:rsid w:val="00D1486E"/>
    <w:rsid w:val="00D3350B"/>
    <w:rsid w:val="00D431A8"/>
    <w:rsid w:val="00D516C7"/>
    <w:rsid w:val="00D566A4"/>
    <w:rsid w:val="00D67B27"/>
    <w:rsid w:val="00D85F04"/>
    <w:rsid w:val="00D9513C"/>
    <w:rsid w:val="00D96C77"/>
    <w:rsid w:val="00DB263C"/>
    <w:rsid w:val="00DD2B33"/>
    <w:rsid w:val="00DD3320"/>
    <w:rsid w:val="00DF4360"/>
    <w:rsid w:val="00E37386"/>
    <w:rsid w:val="00E44061"/>
    <w:rsid w:val="00E44144"/>
    <w:rsid w:val="00E461D3"/>
    <w:rsid w:val="00E512F1"/>
    <w:rsid w:val="00E52A38"/>
    <w:rsid w:val="00E54954"/>
    <w:rsid w:val="00E7207F"/>
    <w:rsid w:val="00E97D32"/>
    <w:rsid w:val="00EA1C3B"/>
    <w:rsid w:val="00EC10BA"/>
    <w:rsid w:val="00EC4B3C"/>
    <w:rsid w:val="00EC6BE3"/>
    <w:rsid w:val="00ED6C4D"/>
    <w:rsid w:val="00EE20B0"/>
    <w:rsid w:val="00EE39BC"/>
    <w:rsid w:val="00EF16CB"/>
    <w:rsid w:val="00EF25F5"/>
    <w:rsid w:val="00F10D1A"/>
    <w:rsid w:val="00F119D4"/>
    <w:rsid w:val="00F13922"/>
    <w:rsid w:val="00F14D6C"/>
    <w:rsid w:val="00F216EA"/>
    <w:rsid w:val="00F347CE"/>
    <w:rsid w:val="00F36CDD"/>
    <w:rsid w:val="00F47168"/>
    <w:rsid w:val="00F53274"/>
    <w:rsid w:val="00F57263"/>
    <w:rsid w:val="00F62D7C"/>
    <w:rsid w:val="00F665D5"/>
    <w:rsid w:val="00F75702"/>
    <w:rsid w:val="00F75802"/>
    <w:rsid w:val="00F860AE"/>
    <w:rsid w:val="00FA3291"/>
    <w:rsid w:val="00FB1ABE"/>
    <w:rsid w:val="00FB516A"/>
    <w:rsid w:val="00FC123F"/>
    <w:rsid w:val="00FE0BD2"/>
    <w:rsid w:val="00FF7382"/>
    <w:rsid w:val="0D96D4DB"/>
    <w:rsid w:val="37235C45"/>
    <w:rsid w:val="375A6D5D"/>
    <w:rsid w:val="46046A45"/>
    <w:rsid w:val="72EBD522"/>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7A5E27"/>
    <w:pPr>
      <w:spacing w:after="0" w:line="240" w:lineRule="auto"/>
    </w:pPr>
    <w:rPr>
      <w:rFonts w:ascii="Arial" w:eastAsia="Times New Roman" w:hAnsi="Arial" w:cs="Times New Roman"/>
      <w:szCs w:val="24"/>
      <w:lang w:eastAsia="de-DE"/>
    </w:rPr>
  </w:style>
  <w:style w:type="paragraph" w:styleId="Naslov1">
    <w:name w:val="heading 1"/>
    <w:basedOn w:val="Navaden"/>
    <w:next w:val="Navaden"/>
    <w:link w:val="Naslov1Znak"/>
    <w:uiPriority w:val="9"/>
    <w:qFormat/>
    <w:rsid w:val="00060590"/>
    <w:pPr>
      <w:keepNext/>
      <w:keepLines/>
      <w:spacing w:before="240"/>
      <w:outlineLvl w:val="0"/>
    </w:pPr>
    <w:rPr>
      <w:rFonts w:eastAsiaTheme="majorEastAsia" w:cstheme="majorBidi"/>
      <w:b/>
      <w:color w:val="34B1D8"/>
      <w:sz w:val="40"/>
      <w:szCs w:val="32"/>
    </w:rPr>
  </w:style>
  <w:style w:type="paragraph" w:styleId="Naslov2">
    <w:name w:val="heading 2"/>
    <w:basedOn w:val="Navaden"/>
    <w:next w:val="Navaden"/>
    <w:link w:val="Naslov2Znak"/>
    <w:uiPriority w:val="9"/>
    <w:unhideWhenUsed/>
    <w:qFormat/>
    <w:rsid w:val="00F53274"/>
    <w:pPr>
      <w:spacing w:line="259" w:lineRule="auto"/>
      <w:outlineLvl w:val="1"/>
    </w:pPr>
    <w:rPr>
      <w:rFonts w:cs="Arial"/>
      <w:b/>
      <w:bCs/>
      <w:color w:val="34B1D8"/>
      <w:sz w:val="32"/>
      <w:szCs w:val="28"/>
      <w:lang w:val="en-GB"/>
    </w:rPr>
  </w:style>
  <w:style w:type="paragraph" w:styleId="Naslov3">
    <w:name w:val="heading 3"/>
    <w:basedOn w:val="Navaden"/>
    <w:next w:val="Navaden"/>
    <w:link w:val="Naslov3Znak"/>
    <w:uiPriority w:val="9"/>
    <w:unhideWhenUsed/>
    <w:qFormat/>
    <w:rsid w:val="00060590"/>
    <w:pPr>
      <w:keepNext/>
      <w:keepLines/>
      <w:spacing w:before="40"/>
      <w:outlineLvl w:val="2"/>
    </w:pPr>
    <w:rPr>
      <w:rFonts w:eastAsiaTheme="majorEastAsia" w:cstheme="majorBidi"/>
      <w: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unhideWhenUsed/>
    <w:rsid w:val="0083701A"/>
    <w:rPr>
      <w:color w:val="0563C1" w:themeColor="hyperlink"/>
      <w:u w:val="single"/>
    </w:rPr>
  </w:style>
  <w:style w:type="paragraph" w:styleId="Odstavekseznama">
    <w:name w:val="List Paragraph"/>
    <w:basedOn w:val="Navaden"/>
    <w:uiPriority w:val="34"/>
    <w:qFormat/>
    <w:rsid w:val="0083701A"/>
    <w:pPr>
      <w:ind w:left="720"/>
      <w:contextualSpacing/>
    </w:pPr>
  </w:style>
  <w:style w:type="character" w:customStyle="1" w:styleId="Naslov1Znak">
    <w:name w:val="Naslov 1 Znak"/>
    <w:basedOn w:val="Privzetapisavaodstavka"/>
    <w:link w:val="Naslov1"/>
    <w:uiPriority w:val="9"/>
    <w:rsid w:val="00060590"/>
    <w:rPr>
      <w:rFonts w:ascii="Arial" w:eastAsiaTheme="majorEastAsia" w:hAnsi="Arial" w:cstheme="majorBidi"/>
      <w:b/>
      <w:color w:val="34B1D8"/>
      <w:sz w:val="40"/>
      <w:szCs w:val="32"/>
      <w:lang w:eastAsia="de-DE"/>
    </w:rPr>
  </w:style>
  <w:style w:type="paragraph" w:styleId="NaslovTOC">
    <w:name w:val="TOC Heading"/>
    <w:basedOn w:val="Naslov1"/>
    <w:next w:val="Navaden"/>
    <w:uiPriority w:val="39"/>
    <w:unhideWhenUsed/>
    <w:qFormat/>
    <w:rsid w:val="0083701A"/>
    <w:pPr>
      <w:spacing w:before="480" w:line="276" w:lineRule="auto"/>
      <w:outlineLvl w:val="9"/>
    </w:pPr>
    <w:rPr>
      <w:b w:val="0"/>
      <w:bCs/>
      <w:sz w:val="28"/>
      <w:szCs w:val="28"/>
      <w:lang w:eastAsia="en-US"/>
    </w:rPr>
  </w:style>
  <w:style w:type="paragraph" w:styleId="Kazalovsebine2">
    <w:name w:val="toc 2"/>
    <w:basedOn w:val="Navaden"/>
    <w:next w:val="Navaden"/>
    <w:autoRedefine/>
    <w:uiPriority w:val="39"/>
    <w:unhideWhenUsed/>
    <w:rsid w:val="0083701A"/>
    <w:pPr>
      <w:tabs>
        <w:tab w:val="left" w:pos="660"/>
        <w:tab w:val="right" w:leader="dot" w:pos="9628"/>
      </w:tabs>
      <w:spacing w:after="100" w:line="276" w:lineRule="auto"/>
    </w:pPr>
    <w:rPr>
      <w:rFonts w:asciiTheme="minorHAnsi" w:eastAsiaTheme="minorHAnsi" w:hAnsiTheme="minorHAnsi" w:cstheme="minorBidi"/>
      <w:szCs w:val="22"/>
      <w:lang w:eastAsia="en-US"/>
    </w:rPr>
  </w:style>
  <w:style w:type="character" w:customStyle="1" w:styleId="NichtaufgelsteErwhnung1">
    <w:name w:val="Nicht aufgelöste Erwähnung1"/>
    <w:basedOn w:val="Privzetapisavaodstavka"/>
    <w:uiPriority w:val="99"/>
    <w:semiHidden/>
    <w:unhideWhenUsed/>
    <w:rsid w:val="0083701A"/>
    <w:rPr>
      <w:color w:val="605E5C"/>
      <w:shd w:val="clear" w:color="auto" w:fill="E1DFDD"/>
    </w:rPr>
  </w:style>
  <w:style w:type="paragraph" w:styleId="Glava">
    <w:name w:val="header"/>
    <w:basedOn w:val="Navaden"/>
    <w:link w:val="GlavaZnak"/>
    <w:uiPriority w:val="99"/>
    <w:unhideWhenUsed/>
    <w:rsid w:val="00A702C1"/>
    <w:pPr>
      <w:tabs>
        <w:tab w:val="center" w:pos="4536"/>
        <w:tab w:val="right" w:pos="9072"/>
      </w:tabs>
    </w:pPr>
  </w:style>
  <w:style w:type="character" w:customStyle="1" w:styleId="GlavaZnak">
    <w:name w:val="Glava Znak"/>
    <w:basedOn w:val="Privzetapisavaodstavka"/>
    <w:link w:val="Glava"/>
    <w:uiPriority w:val="99"/>
    <w:rsid w:val="00A702C1"/>
    <w:rPr>
      <w:rFonts w:ascii="Times New Roman" w:eastAsia="Times New Roman" w:hAnsi="Times New Roman" w:cs="Times New Roman"/>
      <w:sz w:val="24"/>
      <w:szCs w:val="24"/>
      <w:lang w:eastAsia="de-DE"/>
    </w:rPr>
  </w:style>
  <w:style w:type="paragraph" w:styleId="Noga">
    <w:name w:val="footer"/>
    <w:basedOn w:val="Navaden"/>
    <w:link w:val="NogaZnak"/>
    <w:uiPriority w:val="99"/>
    <w:unhideWhenUsed/>
    <w:rsid w:val="00A702C1"/>
    <w:pPr>
      <w:tabs>
        <w:tab w:val="center" w:pos="4536"/>
        <w:tab w:val="right" w:pos="9072"/>
      </w:tabs>
    </w:pPr>
  </w:style>
  <w:style w:type="character" w:customStyle="1" w:styleId="NogaZnak">
    <w:name w:val="Noga Znak"/>
    <w:basedOn w:val="Privzetapisavaodstavka"/>
    <w:link w:val="Noga"/>
    <w:uiPriority w:val="99"/>
    <w:rsid w:val="00A702C1"/>
    <w:rPr>
      <w:rFonts w:ascii="Times New Roman" w:eastAsia="Times New Roman" w:hAnsi="Times New Roman" w:cs="Times New Roman"/>
      <w:sz w:val="24"/>
      <w:szCs w:val="24"/>
      <w:lang w:eastAsia="de-DE"/>
    </w:rPr>
  </w:style>
  <w:style w:type="character" w:styleId="Krepko">
    <w:name w:val="Strong"/>
    <w:basedOn w:val="Privzetapisavaodstavka"/>
    <w:uiPriority w:val="22"/>
    <w:qFormat/>
    <w:rsid w:val="00E54954"/>
    <w:rPr>
      <w:b/>
      <w:bCs/>
    </w:rPr>
  </w:style>
  <w:style w:type="paragraph" w:styleId="Navadensplet">
    <w:name w:val="Normal (Web)"/>
    <w:basedOn w:val="Navaden"/>
    <w:uiPriority w:val="99"/>
    <w:unhideWhenUsed/>
    <w:rsid w:val="00E54954"/>
    <w:pPr>
      <w:spacing w:before="100" w:beforeAutospacing="1" w:after="100" w:afterAutospacing="1"/>
    </w:pPr>
    <w:rPr>
      <w:lang w:val="cs-CZ" w:eastAsia="cs-CZ"/>
    </w:rPr>
  </w:style>
  <w:style w:type="character" w:customStyle="1" w:styleId="Naslov2Znak">
    <w:name w:val="Naslov 2 Znak"/>
    <w:basedOn w:val="Privzetapisavaodstavka"/>
    <w:link w:val="Naslov2"/>
    <w:uiPriority w:val="9"/>
    <w:rsid w:val="00F53274"/>
    <w:rPr>
      <w:rFonts w:ascii="Arial" w:eastAsia="Times New Roman" w:hAnsi="Arial" w:cs="Arial"/>
      <w:b/>
      <w:bCs/>
      <w:color w:val="34B1D8"/>
      <w:sz w:val="32"/>
      <w:szCs w:val="28"/>
      <w:lang w:val="en-GB" w:eastAsia="de-DE"/>
    </w:rPr>
  </w:style>
  <w:style w:type="table" w:styleId="Tabela-mrea">
    <w:name w:val="Table Grid"/>
    <w:basedOn w:val="Navadnatabela"/>
    <w:uiPriority w:val="39"/>
    <w:rsid w:val="008201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lor">
    <w:name w:val="color"/>
    <w:basedOn w:val="Privzetapisavaodstavka"/>
    <w:rsid w:val="00820150"/>
  </w:style>
  <w:style w:type="paragraph" w:styleId="HTML-oblikovano">
    <w:name w:val="HTML Preformatted"/>
    <w:basedOn w:val="Navaden"/>
    <w:link w:val="HTML-oblikovanoZnak"/>
    <w:uiPriority w:val="99"/>
    <w:unhideWhenUsed/>
    <w:rsid w:val="00AC3D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oblikovanoZnak">
    <w:name w:val="HTML-oblikovano Znak"/>
    <w:basedOn w:val="Privzetapisavaodstavka"/>
    <w:link w:val="HTML-oblikovano"/>
    <w:uiPriority w:val="99"/>
    <w:rsid w:val="00AC3D4F"/>
    <w:rPr>
      <w:rFonts w:ascii="Courier New" w:eastAsia="Times New Roman" w:hAnsi="Courier New" w:cs="Courier New"/>
      <w:sz w:val="20"/>
      <w:szCs w:val="20"/>
      <w:lang w:eastAsia="de-DE"/>
    </w:rPr>
  </w:style>
  <w:style w:type="paragraph" w:customStyle="1" w:styleId="CM4">
    <w:name w:val="CM4"/>
    <w:basedOn w:val="Navaden"/>
    <w:next w:val="Navaden"/>
    <w:uiPriority w:val="99"/>
    <w:rsid w:val="004E627A"/>
    <w:pPr>
      <w:autoSpaceDE w:val="0"/>
      <w:autoSpaceDN w:val="0"/>
      <w:adjustRightInd w:val="0"/>
    </w:pPr>
    <w:rPr>
      <w:rFonts w:eastAsiaTheme="minorHAnsi"/>
      <w:lang w:val="sl-SI" w:eastAsia="en-US"/>
    </w:rPr>
  </w:style>
  <w:style w:type="paragraph" w:styleId="Besedilooblaka">
    <w:name w:val="Balloon Text"/>
    <w:basedOn w:val="Navaden"/>
    <w:link w:val="BesedilooblakaZnak"/>
    <w:uiPriority w:val="99"/>
    <w:semiHidden/>
    <w:unhideWhenUsed/>
    <w:rsid w:val="00707C2A"/>
    <w:rPr>
      <w:rFonts w:ascii="Lucida Grande" w:hAnsi="Lucida Grande"/>
      <w:sz w:val="18"/>
      <w:szCs w:val="18"/>
    </w:rPr>
  </w:style>
  <w:style w:type="character" w:customStyle="1" w:styleId="BesedilooblakaZnak">
    <w:name w:val="Besedilo oblačka Znak"/>
    <w:basedOn w:val="Privzetapisavaodstavka"/>
    <w:link w:val="Besedilooblaka"/>
    <w:uiPriority w:val="99"/>
    <w:semiHidden/>
    <w:rsid w:val="00707C2A"/>
    <w:rPr>
      <w:rFonts w:ascii="Lucida Grande" w:eastAsia="Times New Roman" w:hAnsi="Lucida Grande" w:cs="Times New Roman"/>
      <w:sz w:val="18"/>
      <w:szCs w:val="18"/>
      <w:lang w:eastAsia="de-DE"/>
    </w:rPr>
  </w:style>
  <w:style w:type="character" w:customStyle="1" w:styleId="UnresolvedMention">
    <w:name w:val="Unresolved Mention"/>
    <w:basedOn w:val="Privzetapisavaodstavka"/>
    <w:uiPriority w:val="99"/>
    <w:semiHidden/>
    <w:unhideWhenUsed/>
    <w:rsid w:val="00165DE1"/>
    <w:rPr>
      <w:color w:val="605E5C"/>
      <w:shd w:val="clear" w:color="auto" w:fill="E1DFDD"/>
    </w:rPr>
  </w:style>
  <w:style w:type="character" w:customStyle="1" w:styleId="Naslov3Znak">
    <w:name w:val="Naslov 3 Znak"/>
    <w:basedOn w:val="Privzetapisavaodstavka"/>
    <w:link w:val="Naslov3"/>
    <w:uiPriority w:val="9"/>
    <w:rsid w:val="00060590"/>
    <w:rPr>
      <w:rFonts w:ascii="Arial" w:eastAsiaTheme="majorEastAsia" w:hAnsi="Arial" w:cstheme="majorBidi"/>
      <w:b/>
      <w:szCs w:val="24"/>
      <w:lang w:eastAsia="de-DE"/>
    </w:rPr>
  </w:style>
  <w:style w:type="paragraph" w:styleId="Kazalovsebine1">
    <w:name w:val="toc 1"/>
    <w:basedOn w:val="Navaden"/>
    <w:next w:val="Navaden"/>
    <w:autoRedefine/>
    <w:uiPriority w:val="39"/>
    <w:unhideWhenUsed/>
    <w:rsid w:val="009D153A"/>
    <w:pPr>
      <w:spacing w:after="100"/>
    </w:pPr>
  </w:style>
  <w:style w:type="paragraph" w:styleId="Kazalovsebine3">
    <w:name w:val="toc 3"/>
    <w:basedOn w:val="Navaden"/>
    <w:next w:val="Navaden"/>
    <w:autoRedefine/>
    <w:uiPriority w:val="39"/>
    <w:unhideWhenUsed/>
    <w:rsid w:val="009D153A"/>
    <w:pPr>
      <w:spacing w:after="100"/>
      <w:ind w:left="440"/>
    </w:pPr>
  </w:style>
  <w:style w:type="character" w:styleId="Poudarek">
    <w:name w:val="Emphasis"/>
    <w:basedOn w:val="Privzetapisavaodstavka"/>
    <w:uiPriority w:val="20"/>
    <w:qFormat/>
    <w:rsid w:val="00B637A9"/>
    <w:rPr>
      <w:i/>
      <w:iCs/>
    </w:rPr>
  </w:style>
</w:styles>
</file>

<file path=word/webSettings.xml><?xml version="1.0" encoding="utf-8"?>
<w:webSettings xmlns:r="http://schemas.openxmlformats.org/officeDocument/2006/relationships" xmlns:w="http://schemas.openxmlformats.org/wordprocessingml/2006/main">
  <w:divs>
    <w:div w:id="294650745">
      <w:bodyDiv w:val="1"/>
      <w:marLeft w:val="0"/>
      <w:marRight w:val="0"/>
      <w:marTop w:val="0"/>
      <w:marBottom w:val="0"/>
      <w:divBdr>
        <w:top w:val="none" w:sz="0" w:space="0" w:color="auto"/>
        <w:left w:val="none" w:sz="0" w:space="0" w:color="auto"/>
        <w:bottom w:val="none" w:sz="0" w:space="0" w:color="auto"/>
        <w:right w:val="none" w:sz="0" w:space="0" w:color="auto"/>
      </w:divBdr>
    </w:div>
    <w:div w:id="443380970">
      <w:bodyDiv w:val="1"/>
      <w:marLeft w:val="0"/>
      <w:marRight w:val="0"/>
      <w:marTop w:val="0"/>
      <w:marBottom w:val="0"/>
      <w:divBdr>
        <w:top w:val="none" w:sz="0" w:space="0" w:color="auto"/>
        <w:left w:val="none" w:sz="0" w:space="0" w:color="auto"/>
        <w:bottom w:val="none" w:sz="0" w:space="0" w:color="auto"/>
        <w:right w:val="none" w:sz="0" w:space="0" w:color="auto"/>
      </w:divBdr>
    </w:div>
    <w:div w:id="669869399">
      <w:bodyDiv w:val="1"/>
      <w:marLeft w:val="0"/>
      <w:marRight w:val="0"/>
      <w:marTop w:val="0"/>
      <w:marBottom w:val="0"/>
      <w:divBdr>
        <w:top w:val="none" w:sz="0" w:space="0" w:color="auto"/>
        <w:left w:val="none" w:sz="0" w:space="0" w:color="auto"/>
        <w:bottom w:val="none" w:sz="0" w:space="0" w:color="auto"/>
        <w:right w:val="none" w:sz="0" w:space="0" w:color="auto"/>
      </w:divBdr>
    </w:div>
    <w:div w:id="758720419">
      <w:bodyDiv w:val="1"/>
      <w:marLeft w:val="0"/>
      <w:marRight w:val="0"/>
      <w:marTop w:val="0"/>
      <w:marBottom w:val="0"/>
      <w:divBdr>
        <w:top w:val="none" w:sz="0" w:space="0" w:color="auto"/>
        <w:left w:val="none" w:sz="0" w:space="0" w:color="auto"/>
        <w:bottom w:val="none" w:sz="0" w:space="0" w:color="auto"/>
        <w:right w:val="none" w:sz="0" w:space="0" w:color="auto"/>
      </w:divBdr>
    </w:div>
    <w:div w:id="793906914">
      <w:bodyDiv w:val="1"/>
      <w:marLeft w:val="0"/>
      <w:marRight w:val="0"/>
      <w:marTop w:val="0"/>
      <w:marBottom w:val="0"/>
      <w:divBdr>
        <w:top w:val="none" w:sz="0" w:space="0" w:color="auto"/>
        <w:left w:val="none" w:sz="0" w:space="0" w:color="auto"/>
        <w:bottom w:val="none" w:sz="0" w:space="0" w:color="auto"/>
        <w:right w:val="none" w:sz="0" w:space="0" w:color="auto"/>
      </w:divBdr>
    </w:div>
    <w:div w:id="818498361">
      <w:bodyDiv w:val="1"/>
      <w:marLeft w:val="0"/>
      <w:marRight w:val="0"/>
      <w:marTop w:val="0"/>
      <w:marBottom w:val="0"/>
      <w:divBdr>
        <w:top w:val="none" w:sz="0" w:space="0" w:color="auto"/>
        <w:left w:val="none" w:sz="0" w:space="0" w:color="auto"/>
        <w:bottom w:val="none" w:sz="0" w:space="0" w:color="auto"/>
        <w:right w:val="none" w:sz="0" w:space="0" w:color="auto"/>
      </w:divBdr>
    </w:div>
    <w:div w:id="1113355383">
      <w:bodyDiv w:val="1"/>
      <w:marLeft w:val="0"/>
      <w:marRight w:val="0"/>
      <w:marTop w:val="0"/>
      <w:marBottom w:val="0"/>
      <w:divBdr>
        <w:top w:val="none" w:sz="0" w:space="0" w:color="auto"/>
        <w:left w:val="none" w:sz="0" w:space="0" w:color="auto"/>
        <w:bottom w:val="none" w:sz="0" w:space="0" w:color="auto"/>
        <w:right w:val="none" w:sz="0" w:space="0" w:color="auto"/>
      </w:divBdr>
    </w:div>
    <w:div w:id="1138914569">
      <w:bodyDiv w:val="1"/>
      <w:marLeft w:val="0"/>
      <w:marRight w:val="0"/>
      <w:marTop w:val="0"/>
      <w:marBottom w:val="0"/>
      <w:divBdr>
        <w:top w:val="none" w:sz="0" w:space="0" w:color="auto"/>
        <w:left w:val="none" w:sz="0" w:space="0" w:color="auto"/>
        <w:bottom w:val="none" w:sz="0" w:space="0" w:color="auto"/>
        <w:right w:val="none" w:sz="0" w:space="0" w:color="auto"/>
      </w:divBdr>
      <w:divsChild>
        <w:div w:id="785588513">
          <w:marLeft w:val="0"/>
          <w:marRight w:val="0"/>
          <w:marTop w:val="0"/>
          <w:marBottom w:val="0"/>
          <w:divBdr>
            <w:top w:val="none" w:sz="0" w:space="0" w:color="auto"/>
            <w:left w:val="none" w:sz="0" w:space="0" w:color="auto"/>
            <w:bottom w:val="none" w:sz="0" w:space="0" w:color="auto"/>
            <w:right w:val="none" w:sz="0" w:space="0" w:color="auto"/>
          </w:divBdr>
        </w:div>
        <w:div w:id="304284814">
          <w:marLeft w:val="0"/>
          <w:marRight w:val="0"/>
          <w:marTop w:val="0"/>
          <w:marBottom w:val="0"/>
          <w:divBdr>
            <w:top w:val="none" w:sz="0" w:space="0" w:color="auto"/>
            <w:left w:val="none" w:sz="0" w:space="0" w:color="auto"/>
            <w:bottom w:val="none" w:sz="0" w:space="0" w:color="auto"/>
            <w:right w:val="none" w:sz="0" w:space="0" w:color="auto"/>
          </w:divBdr>
        </w:div>
        <w:div w:id="1388723548">
          <w:marLeft w:val="0"/>
          <w:marRight w:val="0"/>
          <w:marTop w:val="0"/>
          <w:marBottom w:val="0"/>
          <w:divBdr>
            <w:top w:val="none" w:sz="0" w:space="0" w:color="auto"/>
            <w:left w:val="none" w:sz="0" w:space="0" w:color="auto"/>
            <w:bottom w:val="none" w:sz="0" w:space="0" w:color="auto"/>
            <w:right w:val="none" w:sz="0" w:space="0" w:color="auto"/>
          </w:divBdr>
        </w:div>
        <w:div w:id="306859691">
          <w:marLeft w:val="0"/>
          <w:marRight w:val="0"/>
          <w:marTop w:val="0"/>
          <w:marBottom w:val="0"/>
          <w:divBdr>
            <w:top w:val="none" w:sz="0" w:space="0" w:color="auto"/>
            <w:left w:val="none" w:sz="0" w:space="0" w:color="auto"/>
            <w:bottom w:val="none" w:sz="0" w:space="0" w:color="auto"/>
            <w:right w:val="none" w:sz="0" w:space="0" w:color="auto"/>
          </w:divBdr>
        </w:div>
        <w:div w:id="202987124">
          <w:marLeft w:val="0"/>
          <w:marRight w:val="0"/>
          <w:marTop w:val="0"/>
          <w:marBottom w:val="0"/>
          <w:divBdr>
            <w:top w:val="none" w:sz="0" w:space="0" w:color="auto"/>
            <w:left w:val="none" w:sz="0" w:space="0" w:color="auto"/>
            <w:bottom w:val="none" w:sz="0" w:space="0" w:color="auto"/>
            <w:right w:val="none" w:sz="0" w:space="0" w:color="auto"/>
          </w:divBdr>
        </w:div>
      </w:divsChild>
    </w:div>
    <w:div w:id="1155217497">
      <w:bodyDiv w:val="1"/>
      <w:marLeft w:val="0"/>
      <w:marRight w:val="0"/>
      <w:marTop w:val="0"/>
      <w:marBottom w:val="0"/>
      <w:divBdr>
        <w:top w:val="none" w:sz="0" w:space="0" w:color="auto"/>
        <w:left w:val="none" w:sz="0" w:space="0" w:color="auto"/>
        <w:bottom w:val="none" w:sz="0" w:space="0" w:color="auto"/>
        <w:right w:val="none" w:sz="0" w:space="0" w:color="auto"/>
      </w:divBdr>
      <w:divsChild>
        <w:div w:id="832449782">
          <w:marLeft w:val="0"/>
          <w:marRight w:val="0"/>
          <w:marTop w:val="0"/>
          <w:marBottom w:val="0"/>
          <w:divBdr>
            <w:top w:val="none" w:sz="0" w:space="0" w:color="auto"/>
            <w:left w:val="none" w:sz="0" w:space="0" w:color="auto"/>
            <w:bottom w:val="none" w:sz="0" w:space="0" w:color="auto"/>
            <w:right w:val="none" w:sz="0" w:space="0" w:color="auto"/>
          </w:divBdr>
        </w:div>
        <w:div w:id="2141143176">
          <w:marLeft w:val="0"/>
          <w:marRight w:val="0"/>
          <w:marTop w:val="0"/>
          <w:marBottom w:val="0"/>
          <w:divBdr>
            <w:top w:val="none" w:sz="0" w:space="0" w:color="auto"/>
            <w:left w:val="none" w:sz="0" w:space="0" w:color="auto"/>
            <w:bottom w:val="none" w:sz="0" w:space="0" w:color="auto"/>
            <w:right w:val="none" w:sz="0" w:space="0" w:color="auto"/>
          </w:divBdr>
        </w:div>
        <w:div w:id="1243636806">
          <w:marLeft w:val="0"/>
          <w:marRight w:val="0"/>
          <w:marTop w:val="0"/>
          <w:marBottom w:val="0"/>
          <w:divBdr>
            <w:top w:val="none" w:sz="0" w:space="0" w:color="auto"/>
            <w:left w:val="none" w:sz="0" w:space="0" w:color="auto"/>
            <w:bottom w:val="none" w:sz="0" w:space="0" w:color="auto"/>
            <w:right w:val="none" w:sz="0" w:space="0" w:color="auto"/>
          </w:divBdr>
        </w:div>
        <w:div w:id="67386504">
          <w:marLeft w:val="0"/>
          <w:marRight w:val="0"/>
          <w:marTop w:val="0"/>
          <w:marBottom w:val="0"/>
          <w:divBdr>
            <w:top w:val="none" w:sz="0" w:space="0" w:color="auto"/>
            <w:left w:val="none" w:sz="0" w:space="0" w:color="auto"/>
            <w:bottom w:val="none" w:sz="0" w:space="0" w:color="auto"/>
            <w:right w:val="none" w:sz="0" w:space="0" w:color="auto"/>
          </w:divBdr>
        </w:div>
        <w:div w:id="1112700241">
          <w:marLeft w:val="0"/>
          <w:marRight w:val="0"/>
          <w:marTop w:val="0"/>
          <w:marBottom w:val="0"/>
          <w:divBdr>
            <w:top w:val="none" w:sz="0" w:space="0" w:color="auto"/>
            <w:left w:val="none" w:sz="0" w:space="0" w:color="auto"/>
            <w:bottom w:val="none" w:sz="0" w:space="0" w:color="auto"/>
            <w:right w:val="none" w:sz="0" w:space="0" w:color="auto"/>
          </w:divBdr>
        </w:div>
      </w:divsChild>
    </w:div>
    <w:div w:id="1163936853">
      <w:bodyDiv w:val="1"/>
      <w:marLeft w:val="0"/>
      <w:marRight w:val="0"/>
      <w:marTop w:val="0"/>
      <w:marBottom w:val="0"/>
      <w:divBdr>
        <w:top w:val="none" w:sz="0" w:space="0" w:color="auto"/>
        <w:left w:val="none" w:sz="0" w:space="0" w:color="auto"/>
        <w:bottom w:val="none" w:sz="0" w:space="0" w:color="auto"/>
        <w:right w:val="none" w:sz="0" w:space="0" w:color="auto"/>
      </w:divBdr>
      <w:divsChild>
        <w:div w:id="495850322">
          <w:marLeft w:val="0"/>
          <w:marRight w:val="0"/>
          <w:marTop w:val="0"/>
          <w:marBottom w:val="0"/>
          <w:divBdr>
            <w:top w:val="none" w:sz="0" w:space="0" w:color="auto"/>
            <w:left w:val="none" w:sz="0" w:space="0" w:color="auto"/>
            <w:bottom w:val="none" w:sz="0" w:space="0" w:color="auto"/>
            <w:right w:val="none" w:sz="0" w:space="0" w:color="auto"/>
          </w:divBdr>
          <w:divsChild>
            <w:div w:id="350378822">
              <w:marLeft w:val="0"/>
              <w:marRight w:val="0"/>
              <w:marTop w:val="0"/>
              <w:marBottom w:val="0"/>
              <w:divBdr>
                <w:top w:val="none" w:sz="0" w:space="0" w:color="auto"/>
                <w:left w:val="none" w:sz="0" w:space="0" w:color="auto"/>
                <w:bottom w:val="none" w:sz="0" w:space="0" w:color="auto"/>
                <w:right w:val="none" w:sz="0" w:space="0" w:color="auto"/>
              </w:divBdr>
              <w:divsChild>
                <w:div w:id="69095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942595">
      <w:bodyDiv w:val="1"/>
      <w:marLeft w:val="0"/>
      <w:marRight w:val="0"/>
      <w:marTop w:val="0"/>
      <w:marBottom w:val="0"/>
      <w:divBdr>
        <w:top w:val="none" w:sz="0" w:space="0" w:color="auto"/>
        <w:left w:val="none" w:sz="0" w:space="0" w:color="auto"/>
        <w:bottom w:val="none" w:sz="0" w:space="0" w:color="auto"/>
        <w:right w:val="none" w:sz="0" w:space="0" w:color="auto"/>
      </w:divBdr>
    </w:div>
    <w:div w:id="1811246625">
      <w:bodyDiv w:val="1"/>
      <w:marLeft w:val="0"/>
      <w:marRight w:val="0"/>
      <w:marTop w:val="0"/>
      <w:marBottom w:val="0"/>
      <w:divBdr>
        <w:top w:val="none" w:sz="0" w:space="0" w:color="auto"/>
        <w:left w:val="none" w:sz="0" w:space="0" w:color="auto"/>
        <w:bottom w:val="none" w:sz="0" w:space="0" w:color="auto"/>
        <w:right w:val="none" w:sz="0" w:space="0" w:color="auto"/>
      </w:divBdr>
      <w:divsChild>
        <w:div w:id="986321960">
          <w:marLeft w:val="0"/>
          <w:marRight w:val="0"/>
          <w:marTop w:val="0"/>
          <w:marBottom w:val="0"/>
          <w:divBdr>
            <w:top w:val="none" w:sz="0" w:space="0" w:color="auto"/>
            <w:left w:val="none" w:sz="0" w:space="0" w:color="auto"/>
            <w:bottom w:val="none" w:sz="0" w:space="0" w:color="auto"/>
            <w:right w:val="none" w:sz="0" w:space="0" w:color="auto"/>
          </w:divBdr>
        </w:div>
        <w:div w:id="1585188080">
          <w:marLeft w:val="0"/>
          <w:marRight w:val="0"/>
          <w:marTop w:val="0"/>
          <w:marBottom w:val="0"/>
          <w:divBdr>
            <w:top w:val="none" w:sz="0" w:space="0" w:color="auto"/>
            <w:left w:val="none" w:sz="0" w:space="0" w:color="auto"/>
            <w:bottom w:val="none" w:sz="0" w:space="0" w:color="auto"/>
            <w:right w:val="none" w:sz="0" w:space="0" w:color="auto"/>
          </w:divBdr>
        </w:div>
      </w:divsChild>
    </w:div>
    <w:div w:id="1845124143">
      <w:bodyDiv w:val="1"/>
      <w:marLeft w:val="0"/>
      <w:marRight w:val="0"/>
      <w:marTop w:val="0"/>
      <w:marBottom w:val="0"/>
      <w:divBdr>
        <w:top w:val="none" w:sz="0" w:space="0" w:color="auto"/>
        <w:left w:val="none" w:sz="0" w:space="0" w:color="auto"/>
        <w:bottom w:val="none" w:sz="0" w:space="0" w:color="auto"/>
        <w:right w:val="none" w:sz="0" w:space="0" w:color="auto"/>
      </w:divBdr>
      <w:divsChild>
        <w:div w:id="1148862341">
          <w:marLeft w:val="0"/>
          <w:marRight w:val="0"/>
          <w:marTop w:val="0"/>
          <w:marBottom w:val="0"/>
          <w:divBdr>
            <w:top w:val="none" w:sz="0" w:space="0" w:color="auto"/>
            <w:left w:val="none" w:sz="0" w:space="0" w:color="auto"/>
            <w:bottom w:val="none" w:sz="0" w:space="0" w:color="auto"/>
            <w:right w:val="none" w:sz="0" w:space="0" w:color="auto"/>
          </w:divBdr>
        </w:div>
        <w:div w:id="2063553932">
          <w:marLeft w:val="0"/>
          <w:marRight w:val="0"/>
          <w:marTop w:val="0"/>
          <w:marBottom w:val="0"/>
          <w:divBdr>
            <w:top w:val="none" w:sz="0" w:space="0" w:color="auto"/>
            <w:left w:val="none" w:sz="0" w:space="0" w:color="auto"/>
            <w:bottom w:val="none" w:sz="0" w:space="0" w:color="auto"/>
            <w:right w:val="none" w:sz="0" w:space="0" w:color="auto"/>
          </w:divBdr>
        </w:div>
      </w:divsChild>
    </w:div>
    <w:div w:id="1855530804">
      <w:bodyDiv w:val="1"/>
      <w:marLeft w:val="0"/>
      <w:marRight w:val="0"/>
      <w:marTop w:val="0"/>
      <w:marBottom w:val="0"/>
      <w:divBdr>
        <w:top w:val="none" w:sz="0" w:space="0" w:color="auto"/>
        <w:left w:val="none" w:sz="0" w:space="0" w:color="auto"/>
        <w:bottom w:val="none" w:sz="0" w:space="0" w:color="auto"/>
        <w:right w:val="none" w:sz="0" w:space="0" w:color="auto"/>
      </w:divBdr>
      <w:divsChild>
        <w:div w:id="679045524">
          <w:marLeft w:val="0"/>
          <w:marRight w:val="0"/>
          <w:marTop w:val="0"/>
          <w:marBottom w:val="0"/>
          <w:divBdr>
            <w:top w:val="none" w:sz="0" w:space="0" w:color="auto"/>
            <w:left w:val="none" w:sz="0" w:space="0" w:color="auto"/>
            <w:bottom w:val="none" w:sz="0" w:space="0" w:color="auto"/>
            <w:right w:val="none" w:sz="0" w:space="0" w:color="auto"/>
          </w:divBdr>
        </w:div>
        <w:div w:id="87192947">
          <w:marLeft w:val="0"/>
          <w:marRight w:val="0"/>
          <w:marTop w:val="0"/>
          <w:marBottom w:val="0"/>
          <w:divBdr>
            <w:top w:val="none" w:sz="0" w:space="0" w:color="auto"/>
            <w:left w:val="none" w:sz="0" w:space="0" w:color="auto"/>
            <w:bottom w:val="none" w:sz="0" w:space="0" w:color="auto"/>
            <w:right w:val="none" w:sz="0" w:space="0" w:color="auto"/>
          </w:divBdr>
        </w:div>
        <w:div w:id="1570269750">
          <w:marLeft w:val="0"/>
          <w:marRight w:val="0"/>
          <w:marTop w:val="0"/>
          <w:marBottom w:val="0"/>
          <w:divBdr>
            <w:top w:val="none" w:sz="0" w:space="0" w:color="auto"/>
            <w:left w:val="none" w:sz="0" w:space="0" w:color="auto"/>
            <w:bottom w:val="none" w:sz="0" w:space="0" w:color="auto"/>
            <w:right w:val="none" w:sz="0" w:space="0" w:color="auto"/>
          </w:divBdr>
        </w:div>
        <w:div w:id="939601051">
          <w:marLeft w:val="0"/>
          <w:marRight w:val="0"/>
          <w:marTop w:val="0"/>
          <w:marBottom w:val="0"/>
          <w:divBdr>
            <w:top w:val="none" w:sz="0" w:space="0" w:color="auto"/>
            <w:left w:val="none" w:sz="0" w:space="0" w:color="auto"/>
            <w:bottom w:val="none" w:sz="0" w:space="0" w:color="auto"/>
            <w:right w:val="none" w:sz="0" w:space="0" w:color="auto"/>
          </w:divBdr>
        </w:div>
        <w:div w:id="962418664">
          <w:marLeft w:val="0"/>
          <w:marRight w:val="0"/>
          <w:marTop w:val="0"/>
          <w:marBottom w:val="0"/>
          <w:divBdr>
            <w:top w:val="none" w:sz="0" w:space="0" w:color="auto"/>
            <w:left w:val="none" w:sz="0" w:space="0" w:color="auto"/>
            <w:bottom w:val="none" w:sz="0" w:space="0" w:color="auto"/>
            <w:right w:val="none" w:sz="0" w:space="0" w:color="auto"/>
          </w:divBdr>
        </w:div>
      </w:divsChild>
    </w:div>
    <w:div w:id="2050914091">
      <w:bodyDiv w:val="1"/>
      <w:marLeft w:val="0"/>
      <w:marRight w:val="0"/>
      <w:marTop w:val="0"/>
      <w:marBottom w:val="0"/>
      <w:divBdr>
        <w:top w:val="none" w:sz="0" w:space="0" w:color="auto"/>
        <w:left w:val="none" w:sz="0" w:space="0" w:color="auto"/>
        <w:bottom w:val="none" w:sz="0" w:space="0" w:color="auto"/>
        <w:right w:val="none" w:sz="0" w:space="0" w:color="auto"/>
      </w:divBdr>
      <w:divsChild>
        <w:div w:id="208881721">
          <w:marLeft w:val="0"/>
          <w:marRight w:val="0"/>
          <w:marTop w:val="0"/>
          <w:marBottom w:val="0"/>
          <w:divBdr>
            <w:top w:val="none" w:sz="0" w:space="0" w:color="auto"/>
            <w:left w:val="none" w:sz="0" w:space="0" w:color="auto"/>
            <w:bottom w:val="none" w:sz="0" w:space="0" w:color="auto"/>
            <w:right w:val="none" w:sz="0" w:space="0" w:color="auto"/>
          </w:divBdr>
        </w:div>
        <w:div w:id="1368676582">
          <w:marLeft w:val="0"/>
          <w:marRight w:val="0"/>
          <w:marTop w:val="0"/>
          <w:marBottom w:val="0"/>
          <w:divBdr>
            <w:top w:val="none" w:sz="0" w:space="0" w:color="auto"/>
            <w:left w:val="none" w:sz="0" w:space="0" w:color="auto"/>
            <w:bottom w:val="none" w:sz="0" w:space="0" w:color="auto"/>
            <w:right w:val="none" w:sz="0" w:space="0" w:color="auto"/>
          </w:divBdr>
        </w:div>
        <w:div w:id="426384743">
          <w:marLeft w:val="0"/>
          <w:marRight w:val="0"/>
          <w:marTop w:val="0"/>
          <w:marBottom w:val="0"/>
          <w:divBdr>
            <w:top w:val="none" w:sz="0" w:space="0" w:color="auto"/>
            <w:left w:val="none" w:sz="0" w:space="0" w:color="auto"/>
            <w:bottom w:val="none" w:sz="0" w:space="0" w:color="auto"/>
            <w:right w:val="none" w:sz="0" w:space="0" w:color="auto"/>
          </w:divBdr>
        </w:div>
        <w:div w:id="327752930">
          <w:marLeft w:val="0"/>
          <w:marRight w:val="0"/>
          <w:marTop w:val="0"/>
          <w:marBottom w:val="0"/>
          <w:divBdr>
            <w:top w:val="none" w:sz="0" w:space="0" w:color="auto"/>
            <w:left w:val="none" w:sz="0" w:space="0" w:color="auto"/>
            <w:bottom w:val="none" w:sz="0" w:space="0" w:color="auto"/>
            <w:right w:val="none" w:sz="0" w:space="0" w:color="auto"/>
          </w:divBdr>
        </w:div>
        <w:div w:id="165294334">
          <w:marLeft w:val="0"/>
          <w:marRight w:val="0"/>
          <w:marTop w:val="0"/>
          <w:marBottom w:val="0"/>
          <w:divBdr>
            <w:top w:val="none" w:sz="0" w:space="0" w:color="auto"/>
            <w:left w:val="none" w:sz="0" w:space="0" w:color="auto"/>
            <w:bottom w:val="none" w:sz="0" w:space="0" w:color="auto"/>
            <w:right w:val="none" w:sz="0" w:space="0" w:color="auto"/>
          </w:divBdr>
        </w:div>
        <w:div w:id="150104415">
          <w:marLeft w:val="0"/>
          <w:marRight w:val="0"/>
          <w:marTop w:val="0"/>
          <w:marBottom w:val="0"/>
          <w:divBdr>
            <w:top w:val="none" w:sz="0" w:space="0" w:color="auto"/>
            <w:left w:val="none" w:sz="0" w:space="0" w:color="auto"/>
            <w:bottom w:val="none" w:sz="0" w:space="0" w:color="auto"/>
            <w:right w:val="none" w:sz="0" w:space="0" w:color="auto"/>
          </w:divBdr>
        </w:div>
        <w:div w:id="101842978">
          <w:marLeft w:val="0"/>
          <w:marRight w:val="0"/>
          <w:marTop w:val="0"/>
          <w:marBottom w:val="0"/>
          <w:divBdr>
            <w:top w:val="none" w:sz="0" w:space="0" w:color="auto"/>
            <w:left w:val="none" w:sz="0" w:space="0" w:color="auto"/>
            <w:bottom w:val="none" w:sz="0" w:space="0" w:color="auto"/>
            <w:right w:val="none" w:sz="0" w:space="0" w:color="auto"/>
          </w:divBdr>
        </w:div>
        <w:div w:id="515460078">
          <w:marLeft w:val="0"/>
          <w:marRight w:val="0"/>
          <w:marTop w:val="0"/>
          <w:marBottom w:val="0"/>
          <w:divBdr>
            <w:top w:val="none" w:sz="0" w:space="0" w:color="auto"/>
            <w:left w:val="none" w:sz="0" w:space="0" w:color="auto"/>
            <w:bottom w:val="none" w:sz="0" w:space="0" w:color="auto"/>
            <w:right w:val="none" w:sz="0" w:space="0" w:color="auto"/>
          </w:divBdr>
        </w:div>
        <w:div w:id="1477865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ec.europa.eu/health/sites/health/files/nutrition_physical_activity/docs/childhoodobesity_actionplan_2014_2020_en.pdf" TargetMode="External"/><Relationship Id="rId18" Type="http://schemas.openxmlformats.org/officeDocument/2006/relationships/hyperlink" Target="https://www.bmgf.gv.at/cms/home/attachments/8/3/3/CH1048/CMS1509621215790/cosi_2017_20171019.pdf" TargetMode="External"/><Relationship Id="rId26" Type="http://schemas.openxmlformats.org/officeDocument/2006/relationships/hyperlink" Target="http://eea.government.bg/bg/soer/2011/water/water1" TargetMode="External"/><Relationship Id="rId39" Type="http://schemas.openxmlformats.org/officeDocument/2006/relationships/hyperlink" Target="http://www.nijz.si/sl/pitje-tekocin-in-uporaba-energijskih-pijac-pri-otrocih-in-mladostnikih" TargetMode="External"/><Relationship Id="rId3" Type="http://schemas.openxmlformats.org/officeDocument/2006/relationships/styles" Target="styles.xml"/><Relationship Id="rId21" Type="http://schemas.openxmlformats.org/officeDocument/2006/relationships/hyperlink" Target="http://ec.europa.eu/environment/water/water-drink/pdf/reports/EN.pdf" TargetMode="External"/><Relationship Id="rId34" Type="http://schemas.openxmlformats.org/officeDocument/2006/relationships/hyperlink" Target="http://ec.europa.eu/environment/water/water-drink/pdf/reports/EN.pdf" TargetMode="External"/><Relationship Id="rId42"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ceidss.com/wp-content/uploads/2018/05/WH14_COSI_factsheets_Artwork-version.pdf" TargetMode="External"/><Relationship Id="rId17" Type="http://schemas.openxmlformats.org/officeDocument/2006/relationships/hyperlink" Target="https://www.bmgf.gv.at/cms/home/attachments/9/7/0/CH1444/CMS1427118828092/hbsc_2014_-_factsheet_ernaehrung.pdf" TargetMode="External"/><Relationship Id="rId25" Type="http://schemas.openxmlformats.org/officeDocument/2006/relationships/chart" Target="charts/chart2.xml"/><Relationship Id="rId33" Type="http://schemas.openxmlformats.org/officeDocument/2006/relationships/chart" Target="charts/chart4.xml"/><Relationship Id="rId38" Type="http://schemas.openxmlformats.org/officeDocument/2006/relationships/hyperlink" Target="http://ec.europa.eu/environment/water/water-drink/pdf/reports/EN.pdf"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bmgf.gv.at/cms/home/attachments/4/5/3/CH1048/CMS1348749794860/oeb12.pdf" TargetMode="External"/><Relationship Id="rId20" Type="http://schemas.openxmlformats.org/officeDocument/2006/relationships/chart" Target="charts/chart1.xml"/><Relationship Id="rId29" Type="http://schemas.openxmlformats.org/officeDocument/2006/relationships/hyperlink" Target="http://ncpha.government.bg/index.php?lang=en" TargetMode="External"/><Relationship Id="rId41" Type="http://schemas.openxmlformats.org/officeDocument/2006/relationships/hyperlink" Target="http://ec.europa.eu/environment/water/water-drink/pdf/reports/EN.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eativecommons.org/licenses/by-nc-sa/4.0" TargetMode="External"/><Relationship Id="rId24" Type="http://schemas.openxmlformats.org/officeDocument/2006/relationships/hyperlink" Target="https://bildung.bmbwf.gv.at/schulen/unterricht/hygieneplan.pdf?61ed8y" TargetMode="External"/><Relationship Id="rId32" Type="http://schemas.openxmlformats.org/officeDocument/2006/relationships/hyperlink" Target="https://www.bmel.de/SharedDocs/Downloads/Ernaehrung/EsKiMoStudie.pdf?__blob=publicationFile" TargetMode="External"/><Relationship Id="rId37" Type="http://schemas.openxmlformats.org/officeDocument/2006/relationships/chart" Target="charts/chart6.xml"/><Relationship Id="rId40" Type="http://schemas.openxmlformats.org/officeDocument/2006/relationships/chart" Target="charts/chart7.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c.europa.eu/eurostat/web/environment/water" TargetMode="External"/><Relationship Id="rId23" Type="http://schemas.openxmlformats.org/officeDocument/2006/relationships/hyperlink" Target="https://www.ris.bka.gv.at/GeltendeFassung.wxe?Abfrage=Bundesnormen&amp;Gesetzesnummer=20001483" TargetMode="External"/><Relationship Id="rId28" Type="http://schemas.openxmlformats.org/officeDocument/2006/relationships/hyperlink" Target="https://www.moew.government.bg/en/" TargetMode="External"/><Relationship Id="rId36" Type="http://schemas.openxmlformats.org/officeDocument/2006/relationships/hyperlink" Target="http://ec.europa.eu/environment/water/water-drink/pdf/reports/EN.pdf" TargetMode="External"/><Relationship Id="rId10" Type="http://schemas.openxmlformats.org/officeDocument/2006/relationships/image" Target="media/image2.png"/><Relationship Id="rId19" Type="http://schemas.openxmlformats.org/officeDocument/2006/relationships/hyperlink" Target="https://www.bmgf.gv.at/cms/home/attachments/9/7/0/CH1444/CMS1427118828092/hbsc_2014_-_factsheet_ernaehrung.pdf" TargetMode="External"/><Relationship Id="rId31" Type="http://schemas.openxmlformats.org/officeDocument/2006/relationships/hyperlink" Target="https://cs.wikipedia.org/wiki/Vodn%C3%AD_hospod%C3%A1%C5%99stv%C3%AD_v_%C4%8Cesku"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creativecommons.org/licenses/by-nc-sa/4.0/" TargetMode="External"/><Relationship Id="rId14" Type="http://schemas.openxmlformats.org/officeDocument/2006/relationships/hyperlink" Target="http://ec.europa.eu/environment/water/water-drink/pdf/reports/EN.pdf" TargetMode="External"/><Relationship Id="rId22" Type="http://schemas.openxmlformats.org/officeDocument/2006/relationships/hyperlink" Target="https://www.sozialministerium.at/cms/site/attachments/2/3/7/CH4111/CMS1069238654727/trinkwasserbericht_20150318.pdf" TargetMode="External"/><Relationship Id="rId27" Type="http://schemas.openxmlformats.org/officeDocument/2006/relationships/hyperlink" Target="https://sos.danubis.org/eng/country-notes/bulgaria/" TargetMode="External"/><Relationship Id="rId30" Type="http://schemas.openxmlformats.org/officeDocument/2006/relationships/chart" Target="charts/chart3.xml"/><Relationship Id="rId35" Type="http://schemas.openxmlformats.org/officeDocument/2006/relationships/chart" Target="charts/chart5.xml"/><Relationship Id="rId43"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RZ\Desktop\Guidelines\Wasserquellen%20EU_11_13.xlsx"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Delovni_list_programa_Microsoft_Office_Excel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RZ\Desktop\Guidelines\Wasserquellen%20EU_11_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RZ\Desktop\Guidelines\Wasserquellen%20EU_11_1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RZ\Desktop\Guidelines\Wasserquellen%20EU_11_13.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RZ\Desktop\Guidelines\Wasserquellen%20EU_11_13.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RZ\Desktop\Guidelines\Wasserquellen%20EU_11_1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sl-SI"/>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9FD5-4EF7-AB78-F5D5080B18BE}"/>
              </c:ext>
            </c:extLst>
          </c:dPt>
          <c:dLbls>
            <c:dLbl>
              <c:idx val="0"/>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FD5-4EF7-AB78-F5D5080B18BE}"/>
                </c:ext>
              </c:extLst>
            </c:dLbl>
            <c:delete val="1"/>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l-SI"/>
              </a:p>
            </c:txPr>
            <c:dLblPos val="outEnd"/>
            <c:extLst xmlns:c16r2="http://schemas.microsoft.com/office/drawing/2015/06/chart">
              <c:ext xmlns:c15="http://schemas.microsoft.com/office/drawing/2012/chart" uri="{CE6537A1-D6FC-4f65-9D91-7224C49458BB}"/>
            </c:extLst>
          </c:dLbls>
          <c:cat>
            <c:strRef>
              <c:f>Tabelle1!$A$13</c:f>
              <c:strCache>
                <c:ptCount val="1"/>
                <c:pt idx="0">
                  <c:v>Groundwater</c:v>
                </c:pt>
              </c:strCache>
            </c:strRef>
          </c:cat>
          <c:val>
            <c:numRef>
              <c:f>Tabelle1!$B$13</c:f>
              <c:numCache>
                <c:formatCode>General</c:formatCode>
                <c:ptCount val="1"/>
                <c:pt idx="0">
                  <c:v>100</c:v>
                </c:pt>
              </c:numCache>
            </c:numRef>
          </c:val>
          <c:extLst xmlns:c16r2="http://schemas.microsoft.com/office/drawing/2015/06/chart">
            <c:ext xmlns:c16="http://schemas.microsoft.com/office/drawing/2014/chart" uri="{C3380CC4-5D6E-409C-BE32-E72D297353CC}">
              <c16:uniqueId val="{00000002-9FD5-4EF7-AB78-F5D5080B18BE}"/>
            </c:ext>
          </c:extLst>
        </c:ser>
        <c:dLbls>
          <c:showVal val="1"/>
        </c:dLbls>
      </c:pie3DChart>
      <c:spPr>
        <a:noFill/>
        <a:ln>
          <a:noFill/>
        </a:ln>
        <a:effectLst/>
      </c:spPr>
    </c:plotArea>
    <c:plotVisOnly val="1"/>
    <c:dispBlanksAs val="zero"/>
  </c:chart>
  <c:spPr>
    <a:solidFill>
      <a:schemeClr val="bg1"/>
    </a:solidFill>
    <a:ln w="15875" cap="flat" cmpd="sng" algn="ctr">
      <a:solidFill>
        <a:srgbClr val="0773B5"/>
      </a:solidFill>
      <a:prstDash val="sysDot"/>
      <a:round/>
    </a:ln>
    <a:effectLst/>
  </c:spPr>
  <c:txPr>
    <a:bodyPr/>
    <a:lstStyle/>
    <a:p>
      <a:pPr>
        <a:defRPr/>
      </a:pPr>
      <a:endParaRPr lang="sl-SI"/>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sl-SI"/>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A28A-4CE9-9297-E35043770631}"/>
              </c:ext>
            </c:extLst>
          </c:dPt>
          <c:dPt>
            <c:idx val="1"/>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A28A-4CE9-9297-E3504377063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l-SI"/>
              </a:p>
            </c:txPr>
            <c:dLblPos val="outEnd"/>
            <c:showVal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Tabelle1!$A$101:$A$102</c:f>
              <c:strCache>
                <c:ptCount val="2"/>
                <c:pt idx="0">
                  <c:v>Groundwater</c:v>
                </c:pt>
                <c:pt idx="1">
                  <c:v>Surface water</c:v>
                </c:pt>
              </c:strCache>
            </c:strRef>
          </c:cat>
          <c:val>
            <c:numRef>
              <c:f>Tabelle1!$B$101:$B$102</c:f>
              <c:numCache>
                <c:formatCode>General</c:formatCode>
                <c:ptCount val="2"/>
                <c:pt idx="0">
                  <c:v>48</c:v>
                </c:pt>
                <c:pt idx="1">
                  <c:v>52</c:v>
                </c:pt>
              </c:numCache>
            </c:numRef>
          </c:val>
          <c:extLst xmlns:c16r2="http://schemas.microsoft.com/office/drawing/2015/06/chart">
            <c:ext xmlns:c16="http://schemas.microsoft.com/office/drawing/2014/chart" uri="{C3380CC4-5D6E-409C-BE32-E72D297353CC}">
              <c16:uniqueId val="{00000004-A28A-4CE9-9297-E35043770631}"/>
            </c:ext>
          </c:extLst>
        </c:ser>
      </c:pie3DChart>
      <c:spPr>
        <a:noFill/>
        <a:ln>
          <a:noFill/>
        </a:ln>
        <a:effectLst/>
      </c:spPr>
    </c:plotArea>
    <c:legend>
      <c:legendPos val="r"/>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l-SI"/>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773B5"/>
      </a:solidFill>
      <a:prstDash val="sysDot"/>
      <a:round/>
    </a:ln>
    <a:effectLst/>
  </c:spPr>
  <c:txPr>
    <a:bodyPr/>
    <a:lstStyle/>
    <a:p>
      <a:pPr>
        <a:defRPr/>
      </a:pPr>
      <a:endParaRPr lang="sl-SI"/>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sl-SI"/>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DC3C-4A39-92D6-F84DF2C0EEC0}"/>
              </c:ext>
            </c:extLst>
          </c:dPt>
          <c:dPt>
            <c:idx val="1"/>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DC3C-4A39-92D6-F84DF2C0EEC0}"/>
              </c:ext>
            </c:extLst>
          </c:dPt>
          <c:dPt>
            <c:idx val="2"/>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DC3C-4A39-92D6-F84DF2C0EEC0}"/>
              </c:ext>
            </c:extLst>
          </c:dPt>
          <c:dPt>
            <c:idx val="3"/>
            <c:spPr>
              <a:solidFill>
                <a:schemeClr val="accent1">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DC3C-4A39-92D6-F84DF2C0EEC0}"/>
              </c:ext>
            </c:extLst>
          </c:dPt>
          <c:dPt>
            <c:idx val="4"/>
            <c:spPr>
              <a:solidFill>
                <a:schemeClr val="accent3">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DC3C-4A39-92D6-F84DF2C0EEC0}"/>
              </c:ext>
            </c:extLst>
          </c:dPt>
          <c:dPt>
            <c:idx val="5"/>
            <c:spPr>
              <a:solidFill>
                <a:schemeClr val="accent5">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DC3C-4A39-92D6-F84DF2C0EEC0}"/>
              </c:ext>
            </c:extLst>
          </c:dPt>
          <c:dPt>
            <c:idx val="6"/>
            <c:spPr>
              <a:solidFill>
                <a:schemeClr val="accent1">
                  <a:lumMod val="80000"/>
                  <a:lumOff val="2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D-DC3C-4A39-92D6-F84DF2C0EEC0}"/>
              </c:ext>
            </c:extLst>
          </c:dPt>
          <c:dLbls>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DC3C-4A39-92D6-F84DF2C0EEC0}"/>
                </c:ext>
              </c:extLst>
            </c:dLbl>
            <c:dLbl>
              <c:idx val="6"/>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D-DC3C-4A39-92D6-F84DF2C0EEC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l-SI"/>
              </a:p>
            </c:txPr>
            <c:dLblPos val="outEnd"/>
            <c:showVal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Tabelle1!$A$121:$A$127</c:f>
              <c:strCache>
                <c:ptCount val="7"/>
                <c:pt idx="0">
                  <c:v>Groundwater</c:v>
                </c:pt>
                <c:pt idx="1">
                  <c:v>Undergroundwater</c:v>
                </c:pt>
                <c:pt idx="2">
                  <c:v>Inland water</c:v>
                </c:pt>
                <c:pt idx="3">
                  <c:v>Coastal water</c:v>
                </c:pt>
                <c:pt idx="4">
                  <c:v>Bankfiltration</c:v>
                </c:pt>
                <c:pt idx="5">
                  <c:v>Other Water</c:v>
                </c:pt>
                <c:pt idx="6">
                  <c:v>Artificial groundwater recharge</c:v>
                </c:pt>
              </c:strCache>
            </c:strRef>
          </c:cat>
          <c:val>
            <c:numRef>
              <c:f>Tabelle1!$B$121:$B$127</c:f>
              <c:numCache>
                <c:formatCode>General</c:formatCode>
                <c:ptCount val="7"/>
                <c:pt idx="0">
                  <c:v>50</c:v>
                </c:pt>
                <c:pt idx="1">
                  <c:v>50</c:v>
                </c:pt>
                <c:pt idx="2">
                  <c:v>0</c:v>
                </c:pt>
                <c:pt idx="3">
                  <c:v>0</c:v>
                </c:pt>
                <c:pt idx="4">
                  <c:v>0</c:v>
                </c:pt>
                <c:pt idx="5">
                  <c:v>0</c:v>
                </c:pt>
                <c:pt idx="6">
                  <c:v>0</c:v>
                </c:pt>
              </c:numCache>
            </c:numRef>
          </c:val>
          <c:extLst xmlns:c16r2="http://schemas.microsoft.com/office/drawing/2015/06/chart">
            <c:ext xmlns:c16="http://schemas.microsoft.com/office/drawing/2014/chart" uri="{C3380CC4-5D6E-409C-BE32-E72D297353CC}">
              <c16:uniqueId val="{0000000E-DC3C-4A39-92D6-F84DF2C0EEC0}"/>
            </c:ext>
          </c:extLst>
        </c:ser>
      </c:pie3DChart>
      <c:spPr>
        <a:noFill/>
        <a:ln>
          <a:noFill/>
        </a:ln>
        <a:effectLst/>
      </c:spPr>
    </c:plotArea>
    <c:legend>
      <c:legendPos val="r"/>
      <c:legendEntry>
        <c:idx val="2"/>
        <c:delete val="1"/>
      </c:legendEntry>
      <c:legendEntry>
        <c:idx val="3"/>
        <c:delete val="1"/>
      </c:legendEntry>
      <c:legendEntry>
        <c:idx val="4"/>
        <c:delete val="1"/>
      </c:legendEntry>
      <c:legendEntry>
        <c:idx val="5"/>
        <c:delete val="1"/>
      </c:legendEntry>
      <c:legendEntry>
        <c:idx val="6"/>
        <c:delete val="1"/>
      </c:legendEntry>
      <c:spPr>
        <a:noFill/>
        <a:ln>
          <a:noFill/>
          <a:prstDash val="sysDot"/>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l-SI"/>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773B5"/>
      </a:solidFill>
      <a:prstDash val="sysDot"/>
      <a:round/>
    </a:ln>
    <a:effectLst/>
  </c:spPr>
  <c:txPr>
    <a:bodyPr/>
    <a:lstStyle/>
    <a:p>
      <a:pPr>
        <a:defRPr/>
      </a:pPr>
      <a:endParaRPr lang="sl-SI"/>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sl-SI"/>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manualLayout>
          <c:layoutTarget val="inner"/>
          <c:xMode val="edge"/>
          <c:yMode val="edge"/>
          <c:x val="4.7222222222222332E-2"/>
          <c:y val="6.4814814814815255E-2"/>
          <c:w val="0.60867585301838167"/>
          <c:h val="0.89814814814814803"/>
        </c:manualLayout>
      </c:layout>
      <c:pie3DChart>
        <c:varyColors val="1"/>
        <c:ser>
          <c:idx val="0"/>
          <c:order val="0"/>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CCED-4306-9BEE-4AAC315C79A0}"/>
              </c:ext>
            </c:extLst>
          </c:dPt>
          <c:dPt>
            <c:idx val="1"/>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CCED-4306-9BEE-4AAC315C79A0}"/>
              </c:ext>
            </c:extLst>
          </c:dPt>
          <c:dPt>
            <c:idx val="2"/>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CCED-4306-9BEE-4AAC315C79A0}"/>
              </c:ext>
            </c:extLst>
          </c:dPt>
          <c:dPt>
            <c:idx val="3"/>
            <c:spPr>
              <a:solidFill>
                <a:schemeClr val="accent1">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CCED-4306-9BEE-4AAC315C79A0}"/>
              </c:ext>
            </c:extLst>
          </c:dPt>
          <c:dPt>
            <c:idx val="4"/>
            <c:spPr>
              <a:solidFill>
                <a:schemeClr val="accent3">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CCED-4306-9BEE-4AAC315C79A0}"/>
              </c:ext>
            </c:extLst>
          </c:dPt>
          <c:dPt>
            <c:idx val="5"/>
            <c:spPr>
              <a:solidFill>
                <a:schemeClr val="accent5">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CCED-4306-9BEE-4AAC315C79A0}"/>
              </c:ext>
            </c:extLst>
          </c:dPt>
          <c:dPt>
            <c:idx val="6"/>
            <c:spPr>
              <a:solidFill>
                <a:schemeClr val="accent1">
                  <a:lumMod val="80000"/>
                  <a:lumOff val="2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D-CCED-4306-9BEE-4AAC315C79A0}"/>
              </c:ext>
            </c:extLst>
          </c:dPt>
          <c:dLbls>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CCED-4306-9BEE-4AAC315C79A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CCED-4306-9BEE-4AAC315C79A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CCED-4306-9BEE-4AAC315C79A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l-SI"/>
              </a:p>
            </c:txPr>
            <c:dLblPos val="outEnd"/>
            <c:showVal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Tabelle1!$A$28:$A$34</c:f>
              <c:strCache>
                <c:ptCount val="7"/>
                <c:pt idx="0">
                  <c:v>Groundwater</c:v>
                </c:pt>
                <c:pt idx="1">
                  <c:v>Surfacewater</c:v>
                </c:pt>
                <c:pt idx="2">
                  <c:v>Binnengewässer</c:v>
                </c:pt>
                <c:pt idx="3">
                  <c:v>Küstengewässer</c:v>
                </c:pt>
                <c:pt idx="4">
                  <c:v>Bankfiltration</c:v>
                </c:pt>
                <c:pt idx="5">
                  <c:v>Sonstige Wasserquellen</c:v>
                </c:pt>
                <c:pt idx="6">
                  <c:v>Artificial groundwater recharge</c:v>
                </c:pt>
              </c:strCache>
            </c:strRef>
          </c:cat>
          <c:val>
            <c:numRef>
              <c:f>Tabelle1!$B$28:$B$34</c:f>
              <c:numCache>
                <c:formatCode>General</c:formatCode>
                <c:ptCount val="7"/>
                <c:pt idx="0">
                  <c:v>68</c:v>
                </c:pt>
                <c:pt idx="1">
                  <c:v>15</c:v>
                </c:pt>
                <c:pt idx="2">
                  <c:v>0</c:v>
                </c:pt>
                <c:pt idx="3">
                  <c:v>0</c:v>
                </c:pt>
                <c:pt idx="4">
                  <c:v>8</c:v>
                </c:pt>
                <c:pt idx="5">
                  <c:v>0</c:v>
                </c:pt>
                <c:pt idx="6">
                  <c:v>8</c:v>
                </c:pt>
              </c:numCache>
            </c:numRef>
          </c:val>
          <c:extLst xmlns:c16r2="http://schemas.microsoft.com/office/drawing/2015/06/chart">
            <c:ext xmlns:c16="http://schemas.microsoft.com/office/drawing/2014/chart" uri="{C3380CC4-5D6E-409C-BE32-E72D297353CC}">
              <c16:uniqueId val="{0000000E-CCED-4306-9BEE-4AAC315C79A0}"/>
            </c:ext>
          </c:extLst>
        </c:ser>
      </c:pie3DChart>
      <c:spPr>
        <a:noFill/>
        <a:ln>
          <a:noFill/>
        </a:ln>
        <a:effectLst/>
      </c:spPr>
    </c:plotArea>
    <c:legend>
      <c:legendPos val="r"/>
      <c:legendEntry>
        <c:idx val="2"/>
        <c:delete val="1"/>
      </c:legendEntry>
      <c:legendEntry>
        <c:idx val="3"/>
        <c:delete val="1"/>
      </c:legendEntry>
      <c:legendEntry>
        <c:idx val="5"/>
        <c:delete val="1"/>
      </c:legendEntry>
      <c:layout>
        <c:manualLayout>
          <c:xMode val="edge"/>
          <c:yMode val="edge"/>
          <c:x val="0.7224856023431927"/>
          <c:y val="5.2169804861348923E-2"/>
          <c:w val="0.27751439765681685"/>
          <c:h val="0.85508068013237504"/>
        </c:manualLayout>
      </c:layout>
      <c:overlay val="1"/>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l-SI"/>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773B5"/>
      </a:solidFill>
      <a:prstDash val="sysDot"/>
      <a:round/>
    </a:ln>
    <a:effectLst/>
  </c:spPr>
  <c:txPr>
    <a:bodyPr/>
    <a:lstStyle/>
    <a:p>
      <a:pPr>
        <a:defRPr/>
      </a:pPr>
      <a:endParaRPr lang="sl-SI"/>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sl-SI"/>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203B-4727-97E5-07B5BB5912A5}"/>
              </c:ext>
            </c:extLst>
          </c:dPt>
          <c:dPt>
            <c:idx val="1"/>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203B-4727-97E5-07B5BB5912A5}"/>
              </c:ext>
            </c:extLst>
          </c:dPt>
          <c:dPt>
            <c:idx val="2"/>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203B-4727-97E5-07B5BB5912A5}"/>
              </c:ext>
            </c:extLst>
          </c:dPt>
          <c:dLbls>
            <c:dLbl>
              <c:idx val="0"/>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203B-4727-97E5-07B5BB5912A5}"/>
                </c:ext>
              </c:extLst>
            </c:dLbl>
            <c:dLbl>
              <c:idx val="1"/>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203B-4727-97E5-07B5BB5912A5}"/>
                </c:ext>
              </c:extLst>
            </c:dLbl>
            <c:dLbl>
              <c:idx val="2"/>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203B-4727-97E5-07B5BB5912A5}"/>
                </c:ext>
              </c:extLst>
            </c:dLbl>
            <c:delete val="1"/>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l-SI"/>
              </a:p>
            </c:txPr>
            <c:dLblPos val="outEnd"/>
            <c:extLst xmlns:c16r2="http://schemas.microsoft.com/office/drawing/2015/06/chart">
              <c:ext xmlns:c15="http://schemas.microsoft.com/office/drawing/2012/chart" uri="{CE6537A1-D6FC-4f65-9D91-7224C49458BB}"/>
            </c:extLst>
          </c:dLbls>
          <c:cat>
            <c:strRef>
              <c:f>Tabelle1!$A$77:$A$79</c:f>
              <c:strCache>
                <c:ptCount val="3"/>
                <c:pt idx="0">
                  <c:v>Groundwater</c:v>
                </c:pt>
                <c:pt idx="1">
                  <c:v>Surface water</c:v>
                </c:pt>
                <c:pt idx="2">
                  <c:v>Inland water</c:v>
                </c:pt>
              </c:strCache>
            </c:strRef>
          </c:cat>
          <c:val>
            <c:numRef>
              <c:f>Tabelle1!$B$77:$B$79</c:f>
              <c:numCache>
                <c:formatCode>General</c:formatCode>
                <c:ptCount val="3"/>
                <c:pt idx="0">
                  <c:v>58</c:v>
                </c:pt>
                <c:pt idx="1">
                  <c:v>38</c:v>
                </c:pt>
                <c:pt idx="2">
                  <c:v>4</c:v>
                </c:pt>
              </c:numCache>
            </c:numRef>
          </c:val>
          <c:extLst xmlns:c16r2="http://schemas.microsoft.com/office/drawing/2015/06/chart">
            <c:ext xmlns:c16="http://schemas.microsoft.com/office/drawing/2014/chart" uri="{C3380CC4-5D6E-409C-BE32-E72D297353CC}">
              <c16:uniqueId val="{00000006-203B-4727-97E5-07B5BB5912A5}"/>
            </c:ext>
          </c:extLst>
        </c:ser>
      </c:pie3DChart>
      <c:spPr>
        <a:noFill/>
        <a:ln>
          <a:noFill/>
        </a:ln>
        <a:effectLst/>
      </c:spPr>
    </c:plotArea>
    <c:legend>
      <c:legendPos val="r"/>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l-SI"/>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773B5"/>
      </a:solidFill>
      <a:prstDash val="sysDot"/>
      <a:round/>
    </a:ln>
    <a:effectLst/>
  </c:spPr>
  <c:txPr>
    <a:bodyPr/>
    <a:lstStyle/>
    <a:p>
      <a:pPr>
        <a:defRPr/>
      </a:pPr>
      <a:endParaRPr lang="sl-SI"/>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sl-SI"/>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7CA2-4AD0-A3A6-7A0524F0F884}"/>
              </c:ext>
            </c:extLst>
          </c:dPt>
          <c:dPt>
            <c:idx val="1"/>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7CA2-4AD0-A3A6-7A0524F0F884}"/>
              </c:ext>
            </c:extLst>
          </c:dPt>
          <c:dPt>
            <c:idx val="2"/>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7CA2-4AD0-A3A6-7A0524F0F884}"/>
              </c:ext>
            </c:extLst>
          </c:dPt>
          <c:dPt>
            <c:idx val="3"/>
            <c:spPr>
              <a:solidFill>
                <a:schemeClr val="accent1">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7CA2-4AD0-A3A6-7A0524F0F884}"/>
              </c:ext>
            </c:extLst>
          </c:dPt>
          <c:dPt>
            <c:idx val="4"/>
            <c:spPr>
              <a:solidFill>
                <a:schemeClr val="accent3">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7CA2-4AD0-A3A6-7A0524F0F884}"/>
              </c:ext>
            </c:extLst>
          </c:dPt>
          <c:dPt>
            <c:idx val="5"/>
            <c:spPr>
              <a:solidFill>
                <a:schemeClr val="accent5">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7CA2-4AD0-A3A6-7A0524F0F884}"/>
              </c:ext>
            </c:extLst>
          </c:dPt>
          <c:dPt>
            <c:idx val="6"/>
            <c:spPr>
              <a:solidFill>
                <a:schemeClr val="accent1">
                  <a:lumMod val="80000"/>
                  <a:lumOff val="2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D-7CA2-4AD0-A3A6-7A0524F0F884}"/>
              </c:ext>
            </c:extLst>
          </c:dPt>
          <c:dLbls>
            <c:dLbl>
              <c:idx val="0"/>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7CA2-4AD0-A3A6-7A0524F0F884}"/>
                </c:ext>
              </c:extLst>
            </c:dLbl>
            <c:dLbl>
              <c:idx val="1"/>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7CA2-4AD0-A3A6-7A0524F0F884}"/>
                </c:ext>
              </c:extLst>
            </c:dLbl>
            <c:delete val="1"/>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l-SI"/>
              </a:p>
            </c:txPr>
            <c:dLblPos val="outEnd"/>
            <c:extLst xmlns:c16r2="http://schemas.microsoft.com/office/drawing/2015/06/chart">
              <c:ext xmlns:c15="http://schemas.microsoft.com/office/drawing/2012/chart" uri="{CE6537A1-D6FC-4f65-9D91-7224C49458BB}"/>
            </c:extLst>
          </c:dLbls>
          <c:cat>
            <c:strRef>
              <c:f>Tabelle1!$A$53:$A$59</c:f>
              <c:strCache>
                <c:ptCount val="7"/>
                <c:pt idx="0">
                  <c:v>Groundwater</c:v>
                </c:pt>
                <c:pt idx="1">
                  <c:v>Surface water</c:v>
                </c:pt>
                <c:pt idx="2">
                  <c:v>Inland water</c:v>
                </c:pt>
                <c:pt idx="3">
                  <c:v>Coastal water</c:v>
                </c:pt>
                <c:pt idx="4">
                  <c:v>Bankfiltration</c:v>
                </c:pt>
                <c:pt idx="5">
                  <c:v>Other Water</c:v>
                </c:pt>
                <c:pt idx="6">
                  <c:v>Artificial groundwater recharge</c:v>
                </c:pt>
              </c:strCache>
            </c:strRef>
          </c:cat>
          <c:val>
            <c:numRef>
              <c:f>Tabelle1!$B$53:$B$59</c:f>
              <c:numCache>
                <c:formatCode>General</c:formatCode>
                <c:ptCount val="7"/>
                <c:pt idx="0">
                  <c:v>67</c:v>
                </c:pt>
                <c:pt idx="1">
                  <c:v>33</c:v>
                </c:pt>
                <c:pt idx="2">
                  <c:v>0</c:v>
                </c:pt>
                <c:pt idx="3">
                  <c:v>0</c:v>
                </c:pt>
                <c:pt idx="4">
                  <c:v>0</c:v>
                </c:pt>
                <c:pt idx="5">
                  <c:v>0</c:v>
                </c:pt>
                <c:pt idx="6">
                  <c:v>0</c:v>
                </c:pt>
              </c:numCache>
            </c:numRef>
          </c:val>
          <c:extLst xmlns:c16r2="http://schemas.microsoft.com/office/drawing/2015/06/chart">
            <c:ext xmlns:c16="http://schemas.microsoft.com/office/drawing/2014/chart" uri="{C3380CC4-5D6E-409C-BE32-E72D297353CC}">
              <c16:uniqueId val="{0000000E-7CA2-4AD0-A3A6-7A0524F0F884}"/>
            </c:ext>
          </c:extLst>
        </c:ser>
      </c:pie3DChart>
      <c:spPr>
        <a:noFill/>
        <a:ln>
          <a:noFill/>
        </a:ln>
        <a:effectLst/>
      </c:spPr>
    </c:plotArea>
    <c:legend>
      <c:legendPos val="r"/>
      <c:legendEntry>
        <c:idx val="2"/>
        <c:delete val="1"/>
      </c:legendEntry>
      <c:legendEntry>
        <c:idx val="3"/>
        <c:delete val="1"/>
      </c:legendEntry>
      <c:legendEntry>
        <c:idx val="4"/>
        <c:delete val="1"/>
      </c:legendEntry>
      <c:legendEntry>
        <c:idx val="5"/>
        <c:delete val="1"/>
      </c:legendEntry>
      <c:legendEntry>
        <c:idx val="6"/>
        <c:delete val="1"/>
      </c:legendEntry>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l-SI"/>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773B5"/>
      </a:solidFill>
      <a:prstDash val="sysDot"/>
      <a:round/>
    </a:ln>
    <a:effectLst/>
  </c:spPr>
  <c:txPr>
    <a:bodyPr/>
    <a:lstStyle/>
    <a:p>
      <a:pPr>
        <a:defRPr/>
      </a:pPr>
      <a:endParaRPr lang="sl-SI"/>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sl-SI"/>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5BDB-4716-A731-4C703EFEE332}"/>
              </c:ext>
            </c:extLst>
          </c:dPt>
          <c:dPt>
            <c:idx val="1"/>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5BDB-4716-A731-4C703EFEE332}"/>
              </c:ext>
            </c:extLst>
          </c:dPt>
          <c:dPt>
            <c:idx val="2"/>
            <c:spPr>
              <a:solidFill>
                <a:schemeClr val="accent5"/>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5BDB-4716-A731-4C703EFEE332}"/>
              </c:ext>
            </c:extLst>
          </c:dPt>
          <c:dPt>
            <c:idx val="3"/>
            <c:spPr>
              <a:solidFill>
                <a:schemeClr val="accent1">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5BDB-4716-A731-4C703EFEE332}"/>
              </c:ext>
            </c:extLst>
          </c:dPt>
          <c:dPt>
            <c:idx val="4"/>
            <c:spPr>
              <a:solidFill>
                <a:schemeClr val="accent3">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9-5BDB-4716-A731-4C703EFEE332}"/>
              </c:ext>
            </c:extLst>
          </c:dPt>
          <c:dPt>
            <c:idx val="5"/>
            <c:spPr>
              <a:solidFill>
                <a:schemeClr val="accent5">
                  <a:lumMod val="6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B-5BDB-4716-A731-4C703EFEE332}"/>
              </c:ext>
            </c:extLst>
          </c:dPt>
          <c:dPt>
            <c:idx val="6"/>
            <c:spPr>
              <a:solidFill>
                <a:schemeClr val="accent1">
                  <a:lumMod val="80000"/>
                  <a:lumOff val="20000"/>
                </a:schemeClr>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D-5BDB-4716-A731-4C703EFEE332}"/>
              </c:ext>
            </c:extLst>
          </c:dPt>
          <c:dLbls>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5BDB-4716-A731-4C703EFEE332}"/>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BDB-4716-A731-4C703EFEE332}"/>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5BDB-4716-A731-4C703EFEE332}"/>
                </c:ext>
              </c:extLst>
            </c:dLbl>
            <c:dLbl>
              <c:idx val="6"/>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D-5BDB-4716-A731-4C703EFEE33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l-SI"/>
              </a:p>
            </c:txPr>
            <c:dLblPos val="outEnd"/>
            <c:showVal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Tabelle1!$A$145:$A$151</c:f>
              <c:strCache>
                <c:ptCount val="7"/>
                <c:pt idx="0">
                  <c:v>Groundwater</c:v>
                </c:pt>
                <c:pt idx="1">
                  <c:v>Surface water</c:v>
                </c:pt>
                <c:pt idx="2">
                  <c:v>Inland water</c:v>
                </c:pt>
                <c:pt idx="3">
                  <c:v>Coastal water</c:v>
                </c:pt>
                <c:pt idx="4">
                  <c:v>Bankfiltration</c:v>
                </c:pt>
                <c:pt idx="5">
                  <c:v>Other Water</c:v>
                </c:pt>
                <c:pt idx="6">
                  <c:v>Artificial groundwater recharge</c:v>
                </c:pt>
              </c:strCache>
            </c:strRef>
          </c:cat>
          <c:val>
            <c:numRef>
              <c:f>Tabelle1!$B$145:$B$151</c:f>
              <c:numCache>
                <c:formatCode>General</c:formatCode>
                <c:ptCount val="7"/>
                <c:pt idx="0">
                  <c:v>14</c:v>
                </c:pt>
                <c:pt idx="1">
                  <c:v>63</c:v>
                </c:pt>
                <c:pt idx="2">
                  <c:v>0</c:v>
                </c:pt>
                <c:pt idx="3">
                  <c:v>0</c:v>
                </c:pt>
                <c:pt idx="4">
                  <c:v>0</c:v>
                </c:pt>
                <c:pt idx="5">
                  <c:v>23</c:v>
                </c:pt>
                <c:pt idx="6">
                  <c:v>0</c:v>
                </c:pt>
              </c:numCache>
            </c:numRef>
          </c:val>
          <c:extLst xmlns:c16r2="http://schemas.microsoft.com/office/drawing/2015/06/chart">
            <c:ext xmlns:c16="http://schemas.microsoft.com/office/drawing/2014/chart" uri="{C3380CC4-5D6E-409C-BE32-E72D297353CC}">
              <c16:uniqueId val="{0000000E-5BDB-4716-A731-4C703EFEE332}"/>
            </c:ext>
          </c:extLst>
        </c:ser>
      </c:pie3DChart>
      <c:spPr>
        <a:noFill/>
        <a:ln>
          <a:noFill/>
        </a:ln>
        <a:effectLst/>
      </c:spPr>
    </c:plotArea>
    <c:legend>
      <c:legendPos val="r"/>
      <c:legendEntry>
        <c:idx val="2"/>
        <c:delete val="1"/>
      </c:legendEntry>
      <c:legendEntry>
        <c:idx val="3"/>
        <c:delete val="1"/>
      </c:legendEntry>
      <c:legendEntry>
        <c:idx val="4"/>
        <c:delete val="1"/>
      </c:legendEntry>
      <c:legendEntry>
        <c:idx val="6"/>
        <c:delete val="1"/>
      </c:legendEntry>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l-SI"/>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773B5"/>
      </a:solidFill>
      <a:prstDash val="sysDot"/>
      <a:round/>
    </a:ln>
    <a:effectLst/>
  </c:spPr>
  <c:txPr>
    <a:bodyPr/>
    <a:lstStyle/>
    <a:p>
      <a:pPr>
        <a:defRPr/>
      </a:pPr>
      <a:endParaRPr lang="sl-SI"/>
    </a:p>
  </c:txPr>
  <c:externalData r:id="rId1"/>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56C4D-391F-4A48-8045-848411C47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18</Pages>
  <Words>6416</Words>
  <Characters>36577</Characters>
  <Application>Microsoft Office Word</Application>
  <DocSecurity>0</DocSecurity>
  <Lines>304</Lines>
  <Paragraphs>85</Paragraphs>
  <ScaleCrop>false</ScaleCrop>
  <HeadingPairs>
    <vt:vector size="4" baseType="variant">
      <vt:variant>
        <vt:lpstr>Naslov</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42908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RZ</dc:creator>
  <cp:lastModifiedBy>Tanja</cp:lastModifiedBy>
  <cp:revision>8</cp:revision>
  <cp:lastPrinted>2019-07-23T08:32:00Z</cp:lastPrinted>
  <dcterms:created xsi:type="dcterms:W3CDTF">2019-09-09T10:18:00Z</dcterms:created>
  <dcterms:modified xsi:type="dcterms:W3CDTF">2020-03-01T20:29:00Z</dcterms:modified>
</cp:coreProperties>
</file>